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87916C" w14:textId="77777777" w:rsidR="003A4945" w:rsidRPr="007F17DE" w:rsidRDefault="003A4945" w:rsidP="003A4945">
      <w:pPr>
        <w:pBdr>
          <w:bottom w:val="single" w:sz="4" w:space="1" w:color="auto"/>
        </w:pBdr>
        <w:rPr>
          <w:rFonts w:ascii="Garamond" w:hAnsi="Garamond"/>
          <w:color w:val="404040" w:themeColor="text1" w:themeTint="BF"/>
          <w:sz w:val="36"/>
          <w:szCs w:val="36"/>
        </w:rPr>
      </w:pPr>
      <w:r w:rsidRPr="007F17DE">
        <w:rPr>
          <w:rFonts w:ascii="Garamond" w:hAnsi="Garamond"/>
          <w:noProof/>
          <w:color w:val="404040" w:themeColor="text1" w:themeTint="BF"/>
        </w:rPr>
        <w:drawing>
          <wp:anchor distT="0" distB="0" distL="114300" distR="114300" simplePos="0" relativeHeight="251659264" behindDoc="0" locked="0" layoutInCell="1" allowOverlap="1" wp14:anchorId="60267E41" wp14:editId="3FC67F9F">
            <wp:simplePos x="0" y="0"/>
            <wp:positionH relativeFrom="column">
              <wp:posOffset>3665220</wp:posOffset>
            </wp:positionH>
            <wp:positionV relativeFrom="paragraph">
              <wp:posOffset>0</wp:posOffset>
            </wp:positionV>
            <wp:extent cx="2526665" cy="353060"/>
            <wp:effectExtent l="0" t="0" r="6985"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Marketing.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26665" cy="353060"/>
                    </a:xfrm>
                    <a:prstGeom prst="rect">
                      <a:avLst/>
                    </a:prstGeom>
                  </pic:spPr>
                </pic:pic>
              </a:graphicData>
            </a:graphic>
          </wp:anchor>
        </w:drawing>
      </w:r>
    </w:p>
    <w:p w14:paraId="46E28C43" w14:textId="77777777" w:rsidR="003A4945" w:rsidRPr="007F17DE" w:rsidRDefault="003A4945" w:rsidP="003A4945">
      <w:pPr>
        <w:pBdr>
          <w:bottom w:val="single" w:sz="4" w:space="1" w:color="auto"/>
        </w:pBdr>
        <w:rPr>
          <w:rFonts w:ascii="Garamond" w:hAnsi="Garamond"/>
          <w:color w:val="404040" w:themeColor="text1" w:themeTint="BF"/>
          <w:sz w:val="36"/>
          <w:szCs w:val="36"/>
        </w:rPr>
      </w:pPr>
    </w:p>
    <w:p w14:paraId="7C2BD0BC" w14:textId="77777777" w:rsidR="003A4945" w:rsidRPr="007F17DE" w:rsidRDefault="003A4945" w:rsidP="003A4945">
      <w:pPr>
        <w:pBdr>
          <w:bottom w:val="single" w:sz="4" w:space="1" w:color="auto"/>
        </w:pBdr>
        <w:rPr>
          <w:rFonts w:ascii="Garamond" w:hAnsi="Garamond"/>
          <w:color w:val="404040" w:themeColor="text1" w:themeTint="BF"/>
          <w:sz w:val="36"/>
          <w:szCs w:val="36"/>
        </w:rPr>
      </w:pPr>
      <w:r w:rsidRPr="007F17DE">
        <w:rPr>
          <w:rFonts w:ascii="Garamond" w:hAnsi="Garamond"/>
          <w:color w:val="404040" w:themeColor="text1" w:themeTint="BF"/>
          <w:sz w:val="36"/>
          <w:szCs w:val="36"/>
        </w:rPr>
        <w:t>Capstone for Impact Submission | GY20</w:t>
      </w:r>
      <w:r>
        <w:rPr>
          <w:rFonts w:ascii="Garamond" w:hAnsi="Garamond"/>
          <w:color w:val="404040" w:themeColor="text1" w:themeTint="BF"/>
          <w:sz w:val="36"/>
          <w:szCs w:val="36"/>
        </w:rPr>
        <w:t>20</w:t>
      </w:r>
    </w:p>
    <w:p w14:paraId="37F3B9CD" w14:textId="77777777" w:rsidR="003A4945" w:rsidRPr="007F17DE" w:rsidRDefault="003A4945" w:rsidP="003A4945">
      <w:pPr>
        <w:rPr>
          <w:rFonts w:ascii="Garamond" w:hAnsi="Garamond"/>
          <w:color w:val="404040" w:themeColor="text1" w:themeTint="BF"/>
          <w:sz w:val="36"/>
          <w:szCs w:val="36"/>
        </w:rPr>
      </w:pPr>
    </w:p>
    <w:p w14:paraId="1C2BD0E8" w14:textId="14C22215" w:rsidR="003A4945" w:rsidRPr="007F17DE" w:rsidRDefault="003A4945" w:rsidP="003A4945">
      <w:pPr>
        <w:rPr>
          <w:rFonts w:ascii="Garamond" w:hAnsi="Garamond"/>
          <w:b/>
          <w:color w:val="404040" w:themeColor="text1" w:themeTint="BF"/>
        </w:rPr>
      </w:pPr>
      <w:r w:rsidRPr="007F17DE">
        <w:rPr>
          <w:rFonts w:ascii="Garamond" w:hAnsi="Garamond"/>
          <w:b/>
          <w:color w:val="404040" w:themeColor="text1" w:themeTint="BF"/>
        </w:rPr>
        <w:t>Project Title:</w:t>
      </w:r>
      <w:r w:rsidRPr="007F17DE">
        <w:rPr>
          <w:rFonts w:ascii="Garamond" w:hAnsi="Garamond"/>
          <w:color w:val="404040" w:themeColor="text1" w:themeTint="BF"/>
        </w:rPr>
        <w:t xml:space="preserve"> </w:t>
      </w:r>
      <w:r w:rsidR="003F660C">
        <w:rPr>
          <w:rFonts w:ascii="Garamond" w:hAnsi="Garamond"/>
          <w:color w:val="404040" w:themeColor="text1" w:themeTint="BF"/>
        </w:rPr>
        <w:t>Michigan Medicine Hand Hygiene Initiative</w:t>
      </w:r>
    </w:p>
    <w:p w14:paraId="57FA092E" w14:textId="252EDAFC" w:rsidR="003A4945" w:rsidRPr="007F17DE" w:rsidRDefault="003A4945" w:rsidP="003A4945">
      <w:pPr>
        <w:rPr>
          <w:rFonts w:ascii="Garamond" w:hAnsi="Garamond"/>
          <w:b/>
          <w:color w:val="404040" w:themeColor="text1" w:themeTint="BF"/>
        </w:rPr>
      </w:pPr>
      <w:r w:rsidRPr="007F17DE">
        <w:rPr>
          <w:rFonts w:ascii="Garamond" w:hAnsi="Garamond"/>
          <w:b/>
          <w:color w:val="404040" w:themeColor="text1" w:themeTint="BF"/>
        </w:rPr>
        <w:t>Student Name(s):</w:t>
      </w:r>
      <w:r w:rsidRPr="007F17DE">
        <w:rPr>
          <w:rFonts w:ascii="Garamond" w:hAnsi="Garamond"/>
          <w:color w:val="404040" w:themeColor="text1" w:themeTint="BF"/>
        </w:rPr>
        <w:t xml:space="preserve"> </w:t>
      </w:r>
      <w:r w:rsidR="003F660C">
        <w:rPr>
          <w:rFonts w:ascii="Garamond" w:hAnsi="Garamond"/>
          <w:color w:val="404040" w:themeColor="text1" w:themeTint="BF"/>
        </w:rPr>
        <w:t>Jacqueline Vidosh</w:t>
      </w:r>
    </w:p>
    <w:p w14:paraId="2E3F0CB1" w14:textId="13111E4E" w:rsidR="003A4945" w:rsidRPr="007F17DE" w:rsidRDefault="003A4945" w:rsidP="003A4945">
      <w:pPr>
        <w:rPr>
          <w:rFonts w:ascii="Garamond" w:hAnsi="Garamond"/>
          <w:b/>
          <w:color w:val="404040" w:themeColor="text1" w:themeTint="BF"/>
        </w:rPr>
      </w:pPr>
      <w:r w:rsidRPr="007F17DE">
        <w:rPr>
          <w:rFonts w:ascii="Garamond" w:hAnsi="Garamond"/>
          <w:b/>
          <w:color w:val="404040" w:themeColor="text1" w:themeTint="BF"/>
        </w:rPr>
        <w:t>Advisor</w:t>
      </w:r>
      <w:r>
        <w:rPr>
          <w:rFonts w:ascii="Garamond" w:hAnsi="Garamond"/>
          <w:b/>
          <w:color w:val="404040" w:themeColor="text1" w:themeTint="BF"/>
        </w:rPr>
        <w:t xml:space="preserve"> Names(s)</w:t>
      </w:r>
      <w:r w:rsidRPr="007F17DE">
        <w:rPr>
          <w:rFonts w:ascii="Garamond" w:hAnsi="Garamond"/>
          <w:b/>
          <w:color w:val="404040" w:themeColor="text1" w:themeTint="BF"/>
        </w:rPr>
        <w:t>:</w:t>
      </w:r>
      <w:r w:rsidRPr="007F17DE">
        <w:rPr>
          <w:rFonts w:ascii="Garamond" w:hAnsi="Garamond"/>
          <w:color w:val="404040" w:themeColor="text1" w:themeTint="BF"/>
        </w:rPr>
        <w:t xml:space="preserve"> </w:t>
      </w:r>
      <w:r w:rsidR="003F660C">
        <w:rPr>
          <w:rFonts w:ascii="Garamond" w:hAnsi="Garamond"/>
          <w:color w:val="404040" w:themeColor="text1" w:themeTint="BF"/>
        </w:rPr>
        <w:t>Dr. Jeffrey Desmond</w:t>
      </w:r>
    </w:p>
    <w:p w14:paraId="43D6BA1E" w14:textId="42365BFB" w:rsidR="003A4945" w:rsidRDefault="003A4945" w:rsidP="003A4945">
      <w:pPr>
        <w:rPr>
          <w:rFonts w:ascii="Garamond" w:hAnsi="Garamond"/>
          <w:noProof/>
          <w:color w:val="404040" w:themeColor="text1" w:themeTint="BF"/>
        </w:rPr>
      </w:pPr>
      <w:r w:rsidRPr="007F17DE">
        <w:rPr>
          <w:rFonts w:ascii="Garamond" w:hAnsi="Garamond"/>
          <w:b/>
          <w:color w:val="404040" w:themeColor="text1" w:themeTint="BF"/>
        </w:rPr>
        <w:t>Branch:</w:t>
      </w:r>
      <w:r w:rsidRPr="007F17DE">
        <w:rPr>
          <w:rFonts w:ascii="Garamond" w:hAnsi="Garamond"/>
          <w:color w:val="404040" w:themeColor="text1" w:themeTint="BF"/>
        </w:rPr>
        <w:t xml:space="preserve"> </w:t>
      </w:r>
      <w:r w:rsidR="003F660C">
        <w:rPr>
          <w:rFonts w:ascii="Garamond" w:hAnsi="Garamond"/>
          <w:color w:val="404040" w:themeColor="text1" w:themeTint="BF"/>
        </w:rPr>
        <w:t>Procedure Based Care</w:t>
      </w:r>
    </w:p>
    <w:p w14:paraId="1FAEE63E" w14:textId="080B3FDC" w:rsidR="003A4945" w:rsidRPr="003F660C" w:rsidRDefault="003A4945" w:rsidP="003A4945">
      <w:pPr>
        <w:rPr>
          <w:rFonts w:ascii="Garamond" w:hAnsi="Garamond"/>
          <w:bCs/>
          <w:color w:val="404040" w:themeColor="text1" w:themeTint="BF"/>
        </w:rPr>
      </w:pPr>
      <w:r>
        <w:rPr>
          <w:rFonts w:ascii="Garamond" w:hAnsi="Garamond"/>
          <w:b/>
          <w:color w:val="404040" w:themeColor="text1" w:themeTint="BF"/>
        </w:rPr>
        <w:t>Path of Excellence:</w:t>
      </w:r>
      <w:r w:rsidR="003F660C">
        <w:rPr>
          <w:rFonts w:ascii="Garamond" w:hAnsi="Garamond"/>
          <w:b/>
          <w:color w:val="404040" w:themeColor="text1" w:themeTint="BF"/>
        </w:rPr>
        <w:t xml:space="preserve"> </w:t>
      </w:r>
      <w:r w:rsidR="003F660C">
        <w:rPr>
          <w:rFonts w:ascii="Garamond" w:hAnsi="Garamond"/>
          <w:bCs/>
          <w:color w:val="404040" w:themeColor="text1" w:themeTint="BF"/>
        </w:rPr>
        <w:t>Scientific Discovery</w:t>
      </w:r>
    </w:p>
    <w:p w14:paraId="13C3AE18" w14:textId="77777777" w:rsidR="003A4945" w:rsidRDefault="003A4945" w:rsidP="003A4945">
      <w:pPr>
        <w:rPr>
          <w:rFonts w:ascii="Garamond" w:hAnsi="Garamond"/>
          <w:i/>
          <w:color w:val="404040" w:themeColor="text1" w:themeTint="BF"/>
        </w:rPr>
      </w:pPr>
    </w:p>
    <w:p w14:paraId="54FA92D4" w14:textId="77777777" w:rsidR="003A4945" w:rsidRPr="00331147" w:rsidRDefault="003A4945" w:rsidP="003A4945">
      <w:pPr>
        <w:rPr>
          <w:rFonts w:ascii="Garamond" w:hAnsi="Garamond"/>
          <w:i/>
          <w:color w:val="404040" w:themeColor="text1" w:themeTint="BF"/>
        </w:rPr>
      </w:pPr>
      <w:r w:rsidRPr="00331147">
        <w:rPr>
          <w:rFonts w:ascii="Garamond" w:hAnsi="Garamond"/>
          <w:i/>
          <w:color w:val="404040" w:themeColor="text1" w:themeTint="BF"/>
        </w:rPr>
        <w:t>If this project can be continued by another UMMS student, please include your contact information or any other details you would like to share</w:t>
      </w:r>
      <w:r>
        <w:rPr>
          <w:rFonts w:ascii="Garamond" w:hAnsi="Garamond"/>
          <w:i/>
          <w:color w:val="404040" w:themeColor="text1" w:themeTint="BF"/>
        </w:rPr>
        <w:t xml:space="preserve"> here</w:t>
      </w:r>
      <w:r w:rsidRPr="00331147">
        <w:rPr>
          <w:rFonts w:ascii="Garamond" w:hAnsi="Garamond"/>
          <w:i/>
          <w:color w:val="404040" w:themeColor="text1" w:themeTint="BF"/>
        </w:rPr>
        <w:t>:</w:t>
      </w:r>
    </w:p>
    <w:p w14:paraId="2BDFAD21" w14:textId="77777777" w:rsidR="003A4945" w:rsidRPr="007F17DE" w:rsidRDefault="003A4945" w:rsidP="003A4945">
      <w:pPr>
        <w:pBdr>
          <w:bottom w:val="single" w:sz="4" w:space="1" w:color="auto"/>
        </w:pBdr>
        <w:rPr>
          <w:rFonts w:ascii="Garamond" w:hAnsi="Garamond"/>
          <w:color w:val="404040" w:themeColor="text1" w:themeTint="BF"/>
        </w:rPr>
      </w:pPr>
    </w:p>
    <w:p w14:paraId="382C6397" w14:textId="62BCD58C" w:rsidR="003A4945" w:rsidRDefault="003A4945" w:rsidP="003A4945">
      <w:pPr>
        <w:rPr>
          <w:rFonts w:ascii="Garamond" w:hAnsi="Garamond"/>
          <w:b/>
          <w:color w:val="404040" w:themeColor="text1" w:themeTint="BF"/>
        </w:rPr>
      </w:pPr>
      <w:r w:rsidRPr="007F17DE">
        <w:rPr>
          <w:rFonts w:ascii="Garamond" w:hAnsi="Garamond"/>
          <w:b/>
          <w:color w:val="404040" w:themeColor="text1" w:themeTint="BF"/>
        </w:rPr>
        <w:t>Summary:</w:t>
      </w:r>
      <w:r w:rsidR="003F660C">
        <w:rPr>
          <w:rFonts w:ascii="Garamond" w:hAnsi="Garamond"/>
          <w:b/>
          <w:color w:val="404040" w:themeColor="text1" w:themeTint="BF"/>
        </w:rPr>
        <w:t xml:space="preserve"> </w:t>
      </w:r>
      <w:r w:rsidR="003F660C" w:rsidRPr="003F660C">
        <w:rPr>
          <w:rFonts w:ascii="Garamond" w:hAnsi="Garamond"/>
          <w:bCs/>
          <w:color w:val="404040" w:themeColor="text1" w:themeTint="BF"/>
        </w:rPr>
        <w:t>Michigan Medicine's Hand Hygiene Initiative Project has resulted in hand hygiene compliance improving from</w:t>
      </w:r>
      <w:r w:rsidR="003F660C" w:rsidRPr="003F660C">
        <w:rPr>
          <w:rFonts w:ascii="Garamond" w:hAnsi="Garamond"/>
          <w:bCs/>
          <w:color w:val="404040" w:themeColor="text1" w:themeTint="BF"/>
        </w:rPr>
        <w:t xml:space="preserve"> </w:t>
      </w:r>
      <w:r w:rsidR="003F660C" w:rsidRPr="003F660C">
        <w:rPr>
          <w:rFonts w:ascii="Garamond" w:hAnsi="Garamond"/>
          <w:bCs/>
          <w:color w:val="404040" w:themeColor="text1" w:themeTint="BF"/>
        </w:rPr>
        <w:t>52% to over 95% currently across our hospital system. I am working to consolidate the various strategies that were</w:t>
      </w:r>
      <w:r w:rsidR="003F660C" w:rsidRPr="003F660C">
        <w:rPr>
          <w:rFonts w:ascii="Garamond" w:hAnsi="Garamond"/>
          <w:bCs/>
          <w:color w:val="404040" w:themeColor="text1" w:themeTint="BF"/>
        </w:rPr>
        <w:t xml:space="preserve"> </w:t>
      </w:r>
      <w:r w:rsidR="003F660C" w:rsidRPr="003F660C">
        <w:rPr>
          <w:rFonts w:ascii="Garamond" w:hAnsi="Garamond"/>
          <w:bCs/>
          <w:color w:val="404040" w:themeColor="text1" w:themeTint="BF"/>
        </w:rPr>
        <w:t>implemented to reach this goal and write a manuscript that will allow us to share this accomplishment with other</w:t>
      </w:r>
      <w:r w:rsidR="003F660C" w:rsidRPr="003F660C">
        <w:rPr>
          <w:rFonts w:ascii="Garamond" w:hAnsi="Garamond"/>
          <w:bCs/>
          <w:color w:val="404040" w:themeColor="text1" w:themeTint="BF"/>
        </w:rPr>
        <w:t xml:space="preserve"> </w:t>
      </w:r>
      <w:r w:rsidR="003F660C" w:rsidRPr="003F660C">
        <w:rPr>
          <w:rFonts w:ascii="Garamond" w:hAnsi="Garamond"/>
          <w:bCs/>
          <w:color w:val="404040" w:themeColor="text1" w:themeTint="BF"/>
        </w:rPr>
        <w:t>health care institutions.</w:t>
      </w:r>
      <w:r w:rsidR="003F660C" w:rsidRPr="003F660C">
        <w:rPr>
          <w:rFonts w:ascii="Garamond" w:hAnsi="Garamond"/>
          <w:bCs/>
          <w:color w:val="404040" w:themeColor="text1" w:themeTint="BF"/>
        </w:rPr>
        <w:cr/>
      </w:r>
    </w:p>
    <w:p w14:paraId="19F57B70" w14:textId="2ADC4702" w:rsidR="003A4945" w:rsidRDefault="003A4945" w:rsidP="003A4945">
      <w:pPr>
        <w:rPr>
          <w:rFonts w:ascii="Garamond" w:hAnsi="Garamond"/>
          <w:b/>
          <w:color w:val="404040" w:themeColor="text1" w:themeTint="BF"/>
        </w:rPr>
      </w:pPr>
      <w:r w:rsidRPr="007F17DE">
        <w:rPr>
          <w:rFonts w:ascii="Garamond" w:hAnsi="Garamond"/>
          <w:b/>
          <w:color w:val="404040" w:themeColor="text1" w:themeTint="BF"/>
        </w:rPr>
        <w:t>Methodology:</w:t>
      </w:r>
      <w:r>
        <w:rPr>
          <w:rFonts w:ascii="Garamond" w:hAnsi="Garamond"/>
          <w:b/>
          <w:color w:val="404040" w:themeColor="text1" w:themeTint="BF"/>
        </w:rPr>
        <w:t xml:space="preserve"> </w:t>
      </w:r>
      <w:r w:rsidR="000848CA">
        <w:rPr>
          <w:rFonts w:ascii="Garamond" w:hAnsi="Garamond"/>
          <w:b/>
          <w:color w:val="404040" w:themeColor="text1" w:themeTint="BF"/>
        </w:rPr>
        <w:t xml:space="preserve">(rough draft) </w:t>
      </w:r>
    </w:p>
    <w:p w14:paraId="4F0CBDFF"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Michigan Medicine is a large academic health system in Ann Arbor, consisting of 3 hospitals: University Hospital, Frankel Cardiovascular Center, and Mott Children’s and Von </w:t>
      </w:r>
      <w:proofErr w:type="spellStart"/>
      <w:r w:rsidRPr="000848CA">
        <w:rPr>
          <w:rFonts w:ascii="Garamond" w:hAnsi="Garamond"/>
          <w:bCs/>
          <w:color w:val="404040" w:themeColor="text1" w:themeTint="BF"/>
        </w:rPr>
        <w:t>Voigtlander</w:t>
      </w:r>
      <w:proofErr w:type="spellEnd"/>
      <w:r w:rsidRPr="000848CA">
        <w:rPr>
          <w:rFonts w:ascii="Garamond" w:hAnsi="Garamond"/>
          <w:bCs/>
          <w:color w:val="404040" w:themeColor="text1" w:themeTint="BF"/>
        </w:rPr>
        <w:t xml:space="preserve"> Women’s Hospital. Together these encompass 1,000 staffed beds and see over 48,000 admissions annually. In addition, there are 40 outpatient facilities that handle 2.1 million outpatient visits per year. The IPE at Michigan Medicine is responsible for leading institutional efforts to measure and improve staff hand hygiene compliance to prevent the spread of germs and reduce the incidence of Hospital Acquired Infections (HAI). Although hand hygiene initiatives have been ongoing in both inpatient and outpatient settings, in this paper we focus on the initiatives and improvement that took place within the 3 hospitals in the Michigan Medicine system. </w:t>
      </w:r>
    </w:p>
    <w:p w14:paraId="36E1BFFF"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Phase 1: Project Rollout </w:t>
      </w:r>
    </w:p>
    <w:p w14:paraId="0D8F63BF"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“Clean, Remind, Thank”  </w:t>
      </w:r>
    </w:p>
    <w:p w14:paraId="50F23C26" w14:textId="5A4DA506"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In May of 2015, the first phase of the initiative was rolled out: The “Clean, Remind, Thank” Campaign. Leaders of each unit were educated on the behaviors determined to be vital for hand hygiene success: To clean hands in and out of patient care areas and between clean and dirty tasks based on the WHO guidelines, to provide reminders to staff observed forgetting to clean their hands, and to thank anyone who provided a reminder. Unit leadership were offered a prepared PowerPoint presentation to utilize as they wished which provided concrete information on the prevalence of HAIs within the institution and the importance of hand hygiene in preventing these HAIs. Leadership were encouraged to educate their staff on the vital behaviors of hand hygiene as well as to work together to identify barriers to compliance that could be </w:t>
      </w:r>
      <w:r w:rsidR="00B075CF" w:rsidRPr="000848CA">
        <w:rPr>
          <w:rFonts w:ascii="Garamond" w:hAnsi="Garamond"/>
          <w:bCs/>
          <w:color w:val="404040" w:themeColor="text1" w:themeTint="BF"/>
        </w:rPr>
        <w:t>addressed.</w:t>
      </w:r>
      <w:r w:rsidRPr="000848CA">
        <w:rPr>
          <w:rFonts w:ascii="Garamond" w:hAnsi="Garamond"/>
          <w:bCs/>
          <w:color w:val="404040" w:themeColor="text1" w:themeTint="BF"/>
        </w:rPr>
        <w:t xml:space="preserve"> It was </w:t>
      </w:r>
      <w:r w:rsidRPr="000848CA">
        <w:rPr>
          <w:rFonts w:ascii="Garamond" w:hAnsi="Garamond"/>
          <w:bCs/>
          <w:color w:val="404040" w:themeColor="text1" w:themeTint="BF"/>
        </w:rPr>
        <w:lastRenderedPageBreak/>
        <w:t xml:space="preserve">emphasized to unit leaders that following the vital behaviors was the expectation and essential for safe patient care. </w:t>
      </w:r>
    </w:p>
    <w:p w14:paraId="77FA6C9F" w14:textId="4FB28EB6"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Clear definitions for “patient care areas” where hand hygiene must be performed were established in various areas, including bays, procedural areas, operating rooms, and inpatient rooms. For rooms with doors, the threshold was the doorway. For bays without doors, the threshold was defined as the curtain track. To assist staff at remembering to clean their hands, standard visual cues were implemented around the areas without clear thresholds. In the medical ICU, red tape was placed on the floor to provide allow staff to recognize when they had crossed the threshold into a patient room and should clean their hands. Stop signs were placed at the entrances to many units to draw the attention of both staff and visitors to remind them to perform hand hygiene. These steps set up the success of improving hand hygiene compliance by providing education to staff on the vital behaviors of hand hygiene, reducing barriers to cleaning hands, and providing visual cues for individuals. Using the framework of the “Influencer Model” unit leadership was instructed to strategize to come up with ideas to improve the compliance rates of their individual </w:t>
      </w:r>
      <w:r w:rsidR="00B075CF" w:rsidRPr="000848CA">
        <w:rPr>
          <w:rFonts w:ascii="Garamond" w:hAnsi="Garamond"/>
          <w:bCs/>
          <w:color w:val="404040" w:themeColor="text1" w:themeTint="BF"/>
        </w:rPr>
        <w:t>units.</w:t>
      </w:r>
      <w:r w:rsidRPr="000848CA">
        <w:rPr>
          <w:rFonts w:ascii="Garamond" w:hAnsi="Garamond"/>
          <w:bCs/>
          <w:color w:val="404040" w:themeColor="text1" w:themeTint="BF"/>
        </w:rPr>
        <w:t xml:space="preserve"> </w:t>
      </w:r>
    </w:p>
    <w:p w14:paraId="5D260267"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Covert Observers</w:t>
      </w:r>
    </w:p>
    <w:p w14:paraId="798D3A85" w14:textId="44B9D16F" w:rsidR="003A4945"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At the same time the “Clean, Remind, </w:t>
      </w:r>
      <w:proofErr w:type="gramStart"/>
      <w:r w:rsidRPr="000848CA">
        <w:rPr>
          <w:rFonts w:ascii="Garamond" w:hAnsi="Garamond"/>
          <w:bCs/>
          <w:color w:val="404040" w:themeColor="text1" w:themeTint="BF"/>
        </w:rPr>
        <w:t>Thank</w:t>
      </w:r>
      <w:proofErr w:type="gramEnd"/>
      <w:r w:rsidRPr="000848CA">
        <w:rPr>
          <w:rFonts w:ascii="Garamond" w:hAnsi="Garamond"/>
          <w:bCs/>
          <w:color w:val="404040" w:themeColor="text1" w:themeTint="BF"/>
        </w:rPr>
        <w:t xml:space="preserve">” Campaign began, IPE hired several “Hand Hygiene Observers.” These individuals were trained in the details of the hand hygiene guidelines, including the basics of cleaning in and out as well as expectations for scenarios involving staff entering or leaving a room with their hands full, or instances where there were contact precautions in place necessitating use of soap and water. The trained observers were placed in every unit across the hospital system to perform covert observations, spending a maximum of 20 minutes per day on a single unit. They recorded the shift during which the observation took place, whether the observation was before or after a patient care encounter, and whether there was compliance with guidelines. They also recorded the role of the individual being observed. These observations were hand-written on paper </w:t>
      </w:r>
      <w:proofErr w:type="gramStart"/>
      <w:r w:rsidRPr="000848CA">
        <w:rPr>
          <w:rFonts w:ascii="Garamond" w:hAnsi="Garamond"/>
          <w:bCs/>
          <w:color w:val="404040" w:themeColor="text1" w:themeTint="BF"/>
        </w:rPr>
        <w:t>forms  (</w:t>
      </w:r>
      <w:proofErr w:type="gramEnd"/>
      <w:r w:rsidRPr="000848CA">
        <w:rPr>
          <w:rFonts w:ascii="Garamond" w:hAnsi="Garamond"/>
          <w:bCs/>
          <w:color w:val="404040" w:themeColor="text1" w:themeTint="BF"/>
        </w:rPr>
        <w:t xml:space="preserve">Figure 1). This data was tracked and posted on the institutional dashboard in real-time, allowing each unit to see their compliance </w:t>
      </w:r>
      <w:r w:rsidR="00B075CF" w:rsidRPr="000848CA">
        <w:rPr>
          <w:rFonts w:ascii="Garamond" w:hAnsi="Garamond"/>
          <w:bCs/>
          <w:color w:val="404040" w:themeColor="text1" w:themeTint="BF"/>
        </w:rPr>
        <w:t>rates.</w:t>
      </w:r>
    </w:p>
    <w:p w14:paraId="5BDC648C"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Hand Hygiene Coaches </w:t>
      </w:r>
    </w:p>
    <w:p w14:paraId="310A4433"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As covert observations were ongoing, each unit designated an individual to serve as their Hand Hygiene Coach. </w:t>
      </w:r>
      <w:proofErr w:type="gramStart"/>
      <w:r w:rsidRPr="000848CA">
        <w:rPr>
          <w:rFonts w:ascii="Garamond" w:hAnsi="Garamond"/>
          <w:bCs/>
          <w:color w:val="404040" w:themeColor="text1" w:themeTint="BF"/>
        </w:rPr>
        <w:t>The  objectives</w:t>
      </w:r>
      <w:proofErr w:type="gramEnd"/>
      <w:r w:rsidRPr="000848CA">
        <w:rPr>
          <w:rFonts w:ascii="Garamond" w:hAnsi="Garamond"/>
          <w:bCs/>
          <w:color w:val="404040" w:themeColor="text1" w:themeTint="BF"/>
        </w:rPr>
        <w:t xml:space="preserve"> of the Hand Hygiene Coaches were to provide real time feedback regarding the hand hygiene vital behaviors of clean, remind, and thank to all health care workers (unit staff, ancillary staff, medical staff.) They were instructed to approach staff noticed to be uncompliant with remarks such as: </w:t>
      </w:r>
    </w:p>
    <w:p w14:paraId="71E71D3C"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w:t>
      </w:r>
      <w:r w:rsidRPr="000848CA">
        <w:rPr>
          <w:rFonts w:ascii="Garamond" w:hAnsi="Garamond"/>
          <w:bCs/>
          <w:color w:val="404040" w:themeColor="text1" w:themeTint="BF"/>
        </w:rPr>
        <w:tab/>
        <w:t>To a peer – “Thanks for cleaning out!  Just a reminder, we need to clean out before going into the nurse server for supplies. Thanks.”</w:t>
      </w:r>
    </w:p>
    <w:p w14:paraId="4A59764A"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w:t>
      </w:r>
      <w:r w:rsidRPr="000848CA">
        <w:rPr>
          <w:rFonts w:ascii="Garamond" w:hAnsi="Garamond"/>
          <w:bCs/>
          <w:color w:val="404040" w:themeColor="text1" w:themeTint="BF"/>
        </w:rPr>
        <w:tab/>
        <w:t xml:space="preserve">To someone you don’t know – “Hi, I’m ______ helping with hand hygiene. Giving reminders that we need to clean in and out, even if only talking to the patient.” </w:t>
      </w:r>
    </w:p>
    <w:p w14:paraId="651BD982"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w:t>
      </w:r>
      <w:r w:rsidRPr="000848CA">
        <w:rPr>
          <w:rFonts w:ascii="Garamond" w:hAnsi="Garamond"/>
          <w:bCs/>
          <w:color w:val="404040" w:themeColor="text1" w:themeTint="BF"/>
        </w:rPr>
        <w:tab/>
        <w:t xml:space="preserve">To someone you don’t know – “Hi, thanks for cleaning coming out of the room.  Just reminding everyone that we need to clean before gloving also.”   </w:t>
      </w:r>
    </w:p>
    <w:p w14:paraId="78744E41" w14:textId="6BE16538"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The coaches served as the unit expert on the hand hygiene policy and educated new staff on compliance. They were also responsible for discussing noncompliance at daily staff safety huddles and working with unit leadership to develop interventions for unit-specific </w:t>
      </w:r>
      <w:r w:rsidR="00B075CF" w:rsidRPr="000848CA">
        <w:rPr>
          <w:rFonts w:ascii="Garamond" w:hAnsi="Garamond"/>
          <w:bCs/>
          <w:color w:val="404040" w:themeColor="text1" w:themeTint="BF"/>
        </w:rPr>
        <w:t>improvement.</w:t>
      </w:r>
      <w:r w:rsidRPr="000848CA">
        <w:rPr>
          <w:rFonts w:ascii="Garamond" w:hAnsi="Garamond"/>
          <w:bCs/>
          <w:color w:val="404040" w:themeColor="text1" w:themeTint="BF"/>
        </w:rPr>
        <w:t xml:space="preserve"> </w:t>
      </w:r>
    </w:p>
    <w:p w14:paraId="20EB0163" w14:textId="77777777" w:rsidR="000848CA" w:rsidRPr="000848CA" w:rsidRDefault="000848CA" w:rsidP="000848CA">
      <w:pPr>
        <w:rPr>
          <w:rFonts w:ascii="Garamond" w:hAnsi="Garamond"/>
          <w:bCs/>
          <w:color w:val="404040" w:themeColor="text1" w:themeTint="BF"/>
        </w:rPr>
      </w:pPr>
    </w:p>
    <w:p w14:paraId="72A0EA7C"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Phase 2</w:t>
      </w:r>
    </w:p>
    <w:p w14:paraId="225087BE"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Incentives and Improvement Plans</w:t>
      </w:r>
    </w:p>
    <w:p w14:paraId="06743EB2" w14:textId="1057A683"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In the year following the rollout of the “Clean, Remind, </w:t>
      </w:r>
      <w:proofErr w:type="gramStart"/>
      <w:r w:rsidRPr="000848CA">
        <w:rPr>
          <w:rFonts w:ascii="Garamond" w:hAnsi="Garamond"/>
          <w:bCs/>
          <w:color w:val="404040" w:themeColor="text1" w:themeTint="BF"/>
        </w:rPr>
        <w:t>Thank</w:t>
      </w:r>
      <w:proofErr w:type="gramEnd"/>
      <w:r w:rsidRPr="000848CA">
        <w:rPr>
          <w:rFonts w:ascii="Garamond" w:hAnsi="Garamond"/>
          <w:bCs/>
          <w:color w:val="404040" w:themeColor="text1" w:themeTint="BF"/>
        </w:rPr>
        <w:t xml:space="preserve">” Campaign, with data on hygiene compliance rates being reported to the IPE, a rewards and incentives program was started for high performing units. All </w:t>
      </w:r>
      <w:r w:rsidRPr="000848CA">
        <w:rPr>
          <w:rFonts w:ascii="Garamond" w:hAnsi="Garamond"/>
          <w:bCs/>
          <w:color w:val="404040" w:themeColor="text1" w:themeTint="BF"/>
        </w:rPr>
        <w:lastRenderedPageBreak/>
        <w:t xml:space="preserve">units with &gt;90% monthly compliance received a treasure chest filled with $100 worth of treats. All units with &gt;90% monthly compliance </w:t>
      </w:r>
      <w:proofErr w:type="gramStart"/>
      <w:r w:rsidRPr="000848CA">
        <w:rPr>
          <w:rFonts w:ascii="Garamond" w:hAnsi="Garamond"/>
          <w:bCs/>
          <w:color w:val="404040" w:themeColor="text1" w:themeTint="BF"/>
        </w:rPr>
        <w:t>were</w:t>
      </w:r>
      <w:proofErr w:type="gramEnd"/>
      <w:r w:rsidRPr="000848CA">
        <w:rPr>
          <w:rFonts w:ascii="Garamond" w:hAnsi="Garamond"/>
          <w:bCs/>
          <w:color w:val="404040" w:themeColor="text1" w:themeTint="BF"/>
        </w:rPr>
        <w:t xml:space="preserve"> placed on the ‘Honor Roll’ and were entered into a quarterly drawing for a $300 prize. High performing units were also recognized with unit-wide celebrations and were recognized at an institutional </w:t>
      </w:r>
      <w:r w:rsidR="00B075CF" w:rsidRPr="000848CA">
        <w:rPr>
          <w:rFonts w:ascii="Garamond" w:hAnsi="Garamond"/>
          <w:bCs/>
          <w:color w:val="404040" w:themeColor="text1" w:themeTint="BF"/>
        </w:rPr>
        <w:t>level.</w:t>
      </w:r>
    </w:p>
    <w:p w14:paraId="3495EEC2" w14:textId="294C9802"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Hand hygiene coaches performed unit-focused reviews to identify improvement </w:t>
      </w:r>
      <w:r w:rsidR="00B075CF" w:rsidRPr="000848CA">
        <w:rPr>
          <w:rFonts w:ascii="Garamond" w:hAnsi="Garamond"/>
          <w:bCs/>
          <w:color w:val="404040" w:themeColor="text1" w:themeTint="BF"/>
        </w:rPr>
        <w:t>opportunities.</w:t>
      </w:r>
      <w:r w:rsidRPr="000848CA">
        <w:rPr>
          <w:rFonts w:ascii="Garamond" w:hAnsi="Garamond"/>
          <w:bCs/>
          <w:color w:val="404040" w:themeColor="text1" w:themeTint="BF"/>
        </w:rPr>
        <w:t xml:space="preserve"> </w:t>
      </w:r>
      <w:bookmarkStart w:id="0" w:name="_GoBack"/>
      <w:bookmarkEnd w:id="0"/>
      <w:r w:rsidRPr="000848CA">
        <w:rPr>
          <w:rFonts w:ascii="Garamond" w:hAnsi="Garamond"/>
          <w:bCs/>
          <w:color w:val="404040" w:themeColor="text1" w:themeTint="BF"/>
        </w:rPr>
        <w:t xml:space="preserve">Units and departments with hand hygiene compliance less than the institutional average over a monthly period were identified by the IPE and asked to develop and share an action plan to address issues and implement strategies to improve compliance. Units in which compliance had decreased or improvement had stagnated below the goal of 90% were also identified and similarly asked to complete an action plan. Data collected regarding the unit’s compliance was provided to unit leadership, as well as a list of interventions that had been found to be successful in other units, as suggestions for helping the low performing units to help reach and maintain 90% compliance. They included: </w:t>
      </w:r>
    </w:p>
    <w:p w14:paraId="76F555E0"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w:t>
      </w:r>
      <w:r w:rsidRPr="000848CA">
        <w:rPr>
          <w:rFonts w:ascii="Garamond" w:hAnsi="Garamond"/>
          <w:bCs/>
          <w:color w:val="404040" w:themeColor="text1" w:themeTint="BF"/>
        </w:rPr>
        <w:tab/>
        <w:t>Nurse Leadership rounding to remind and thank on unit</w:t>
      </w:r>
    </w:p>
    <w:p w14:paraId="3CEC6491"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w:t>
      </w:r>
      <w:r w:rsidRPr="000848CA">
        <w:rPr>
          <w:rFonts w:ascii="Garamond" w:hAnsi="Garamond"/>
          <w:bCs/>
          <w:color w:val="404040" w:themeColor="text1" w:themeTint="BF"/>
        </w:rPr>
        <w:tab/>
        <w:t>Physician Leadership rounding to remind and thank on unit</w:t>
      </w:r>
    </w:p>
    <w:p w14:paraId="53DAE19F"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w:t>
      </w:r>
      <w:r w:rsidRPr="000848CA">
        <w:rPr>
          <w:rFonts w:ascii="Garamond" w:hAnsi="Garamond"/>
          <w:bCs/>
          <w:color w:val="404040" w:themeColor="text1" w:themeTint="BF"/>
        </w:rPr>
        <w:tab/>
        <w:t>IPE Hand Hygiene Coach Focused Review/Feedback</w:t>
      </w:r>
    </w:p>
    <w:p w14:paraId="0F0E6D87"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w:t>
      </w:r>
      <w:r w:rsidRPr="000848CA">
        <w:rPr>
          <w:rFonts w:ascii="Garamond" w:hAnsi="Garamond"/>
          <w:bCs/>
          <w:color w:val="404040" w:themeColor="text1" w:themeTint="BF"/>
        </w:rPr>
        <w:tab/>
        <w:t>Hand Hygiene coaching training for unit leaders for sustained internal unit coaching</w:t>
      </w:r>
    </w:p>
    <w:p w14:paraId="378C8293"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w:t>
      </w:r>
      <w:r w:rsidRPr="000848CA">
        <w:rPr>
          <w:rFonts w:ascii="Garamond" w:hAnsi="Garamond"/>
          <w:bCs/>
          <w:color w:val="404040" w:themeColor="text1" w:themeTint="BF"/>
        </w:rPr>
        <w:tab/>
        <w:t>Report and discuss internal unit hand hygiene audits at DMS huddles</w:t>
      </w:r>
    </w:p>
    <w:p w14:paraId="247A1387"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w:t>
      </w:r>
      <w:r w:rsidRPr="000848CA">
        <w:rPr>
          <w:rFonts w:ascii="Garamond" w:hAnsi="Garamond"/>
          <w:bCs/>
          <w:color w:val="404040" w:themeColor="text1" w:themeTint="BF"/>
        </w:rPr>
        <w:tab/>
        <w:t>Standard Wash In/Wash Out signs posted at entry and exit points</w:t>
      </w:r>
    </w:p>
    <w:p w14:paraId="7A4BD883"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w:t>
      </w:r>
      <w:r w:rsidRPr="000848CA">
        <w:rPr>
          <w:rFonts w:ascii="Garamond" w:hAnsi="Garamond"/>
          <w:bCs/>
          <w:color w:val="404040" w:themeColor="text1" w:themeTint="BF"/>
        </w:rPr>
        <w:tab/>
        <w:t>Assessment of appropriate access of Purell/handwashing sinks</w:t>
      </w:r>
    </w:p>
    <w:p w14:paraId="4ABE1BD1"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w:t>
      </w:r>
      <w:r w:rsidRPr="000848CA">
        <w:rPr>
          <w:rFonts w:ascii="Garamond" w:hAnsi="Garamond"/>
          <w:bCs/>
          <w:color w:val="404040" w:themeColor="text1" w:themeTint="BF"/>
        </w:rPr>
        <w:tab/>
        <w:t>Clarify threshold with the use of approved red tape at doorway or bay</w:t>
      </w:r>
    </w:p>
    <w:p w14:paraId="7A3DEF13"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w:t>
      </w:r>
      <w:r w:rsidRPr="000848CA">
        <w:rPr>
          <w:rFonts w:ascii="Garamond" w:hAnsi="Garamond"/>
          <w:bCs/>
          <w:color w:val="404040" w:themeColor="text1" w:themeTint="BF"/>
        </w:rPr>
        <w:tab/>
        <w:t>Implement hand hygiene attestation with clear expectations to achieve staff accountability</w:t>
      </w:r>
    </w:p>
    <w:p w14:paraId="3509970D"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Although each unit had the option of following these recommendations, they were allowed the flexibility to adopt their own individualized plan to improve compliance. These action plans were followed up upon by the IPE and unit leadership. Units that were identified as recurrently </w:t>
      </w:r>
      <w:proofErr w:type="gramStart"/>
      <w:r w:rsidRPr="000848CA">
        <w:rPr>
          <w:rFonts w:ascii="Garamond" w:hAnsi="Garamond"/>
          <w:bCs/>
          <w:color w:val="404040" w:themeColor="text1" w:themeTint="BF"/>
        </w:rPr>
        <w:t>low-performing</w:t>
      </w:r>
      <w:proofErr w:type="gramEnd"/>
      <w:r w:rsidRPr="000848CA">
        <w:rPr>
          <w:rFonts w:ascii="Garamond" w:hAnsi="Garamond"/>
          <w:bCs/>
          <w:color w:val="404040" w:themeColor="text1" w:themeTint="BF"/>
        </w:rPr>
        <w:t xml:space="preserve"> were asked to present their action plan at the institutional Infection Control Committee meeting, where tailored advice and strategies for improvement were provided. </w:t>
      </w:r>
    </w:p>
    <w:p w14:paraId="4BF49DF8" w14:textId="5471638C"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Several </w:t>
      </w:r>
      <w:r w:rsidRPr="000848CA">
        <w:rPr>
          <w:rFonts w:ascii="Garamond" w:hAnsi="Garamond"/>
          <w:bCs/>
          <w:color w:val="404040" w:themeColor="text1" w:themeTint="BF"/>
        </w:rPr>
        <w:t>initiatives</w:t>
      </w:r>
      <w:r w:rsidRPr="000848CA">
        <w:rPr>
          <w:rFonts w:ascii="Garamond" w:hAnsi="Garamond"/>
          <w:bCs/>
          <w:color w:val="404040" w:themeColor="text1" w:themeTint="BF"/>
        </w:rPr>
        <w:t xml:space="preserve"> took place during this phase to ensure that the hand hygiene initiative remained relevant and at the forefront of staff’s focus. Hand hygiene began being incorporated into Daily Management Systems huddles. The IPE Manager began sending out weekly HH compliance updates and details of the non-compliant events. Also, the monthly graphs began to include a pie chart of the breakdown of non-compliance</w:t>
      </w:r>
      <w:r>
        <w:rPr>
          <w:rFonts w:ascii="Garamond" w:hAnsi="Garamond"/>
          <w:bCs/>
          <w:color w:val="404040" w:themeColor="text1" w:themeTint="BF"/>
        </w:rPr>
        <w:t>.</w:t>
      </w:r>
    </w:p>
    <w:p w14:paraId="025D218B"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Other initiatives that took place at this time included the Department of Communications initiative to incorporating patients’ stories, as well as ‘Engaging the patient in hand hygiene’ </w:t>
      </w:r>
      <w:proofErr w:type="gramStart"/>
      <w:r w:rsidRPr="000848CA">
        <w:rPr>
          <w:rFonts w:ascii="Garamond" w:hAnsi="Garamond"/>
          <w:bCs/>
          <w:color w:val="404040" w:themeColor="text1" w:themeTint="BF"/>
        </w:rPr>
        <w:t>a</w:t>
      </w:r>
      <w:proofErr w:type="gramEnd"/>
      <w:r w:rsidRPr="000848CA">
        <w:rPr>
          <w:rFonts w:ascii="Garamond" w:hAnsi="Garamond"/>
          <w:bCs/>
          <w:color w:val="404040" w:themeColor="text1" w:themeTint="BF"/>
        </w:rPr>
        <w:t xml:space="preserve"> initiative launched to further help motivate staff to comply with the vital hand hygiene behaviors. The Hand Hygiene Steering Committee was formed. Alcohol based hand foam in touch-free dispensers that were installed outside of each patient’s room.   </w:t>
      </w:r>
    </w:p>
    <w:p w14:paraId="49DC7AEE"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Phase 3 </w:t>
      </w:r>
    </w:p>
    <w:p w14:paraId="2A64E776"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Exceeding the Goal and Sustaining Improvements</w:t>
      </w:r>
    </w:p>
    <w:p w14:paraId="53423E83" w14:textId="60BD4E0B" w:rsidR="003A4945"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As the institutional compliance rate reached the original goal of 90%, the goal was re-evaluated and increased to 95%. The major change that was made during this phase was to decentralize both hand hygiene coaching and accountability for maintaining high compliance rates. Rather than being assigned by IPE, unit-based </w:t>
      </w:r>
      <w:r w:rsidRPr="000848CA">
        <w:rPr>
          <w:rFonts w:ascii="Garamond" w:hAnsi="Garamond"/>
          <w:bCs/>
          <w:color w:val="404040" w:themeColor="text1" w:themeTint="BF"/>
        </w:rPr>
        <w:lastRenderedPageBreak/>
        <w:t xml:space="preserve">coaches were selected and trained for all units. Every unit and ancillary department </w:t>
      </w:r>
      <w:proofErr w:type="gramStart"/>
      <w:r w:rsidRPr="000848CA">
        <w:rPr>
          <w:rFonts w:ascii="Garamond" w:hAnsi="Garamond"/>
          <w:bCs/>
          <w:color w:val="404040" w:themeColor="text1" w:themeTint="BF"/>
        </w:rPr>
        <w:t>was</w:t>
      </w:r>
      <w:proofErr w:type="gramEnd"/>
      <w:r w:rsidRPr="000848CA">
        <w:rPr>
          <w:rFonts w:ascii="Garamond" w:hAnsi="Garamond"/>
          <w:bCs/>
          <w:color w:val="404040" w:themeColor="text1" w:themeTint="BF"/>
        </w:rPr>
        <w:t xml:space="preserve"> also made responsible for monitoring hand hygiene compliance and ensuring their units met or exceeded the institutional goal, although they continued to report their compliance data to the IPE. Rewards and recognition were given to units with perfect compliance. Low performing units, now defined as those with less than 95% compliance, continued to submit action plans for improvement, with IPE follow-up.</w:t>
      </w:r>
    </w:p>
    <w:p w14:paraId="5967F42E" w14:textId="040F700B" w:rsidR="000848CA" w:rsidRDefault="000848CA" w:rsidP="000848CA">
      <w:pPr>
        <w:rPr>
          <w:rFonts w:ascii="Garamond" w:hAnsi="Garamond"/>
          <w:bCs/>
          <w:color w:val="404040" w:themeColor="text1" w:themeTint="BF"/>
        </w:rPr>
      </w:pPr>
    </w:p>
    <w:p w14:paraId="33607AE7" w14:textId="5D45B329" w:rsidR="000848CA" w:rsidRPr="000848CA" w:rsidRDefault="000848CA" w:rsidP="000848CA">
      <w:pPr>
        <w:rPr>
          <w:rFonts w:ascii="Garamond" w:hAnsi="Garamond"/>
          <w:b/>
          <w:color w:val="404040" w:themeColor="text1" w:themeTint="BF"/>
        </w:rPr>
      </w:pPr>
      <w:r w:rsidRPr="000848CA">
        <w:rPr>
          <w:rFonts w:ascii="Garamond" w:hAnsi="Garamond"/>
          <w:b/>
          <w:color w:val="404040" w:themeColor="text1" w:themeTint="BF"/>
        </w:rPr>
        <w:t>Results</w:t>
      </w:r>
      <w:r>
        <w:rPr>
          <w:rFonts w:ascii="Garamond" w:hAnsi="Garamond"/>
          <w:b/>
          <w:color w:val="404040" w:themeColor="text1" w:themeTint="BF"/>
        </w:rPr>
        <w:t xml:space="preserve"> (rough draft)</w:t>
      </w:r>
      <w:r w:rsidRPr="000848CA">
        <w:rPr>
          <w:rFonts w:ascii="Garamond" w:hAnsi="Garamond"/>
          <w:b/>
          <w:color w:val="404040" w:themeColor="text1" w:themeTint="BF"/>
        </w:rPr>
        <w:t>:</w:t>
      </w:r>
    </w:p>
    <w:p w14:paraId="77BE8125" w14:textId="3056EFD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When the initiative to improve hand hygiene began in May 2015, institutional compliance was measured at 45% for that month. </w:t>
      </w:r>
    </w:p>
    <w:p w14:paraId="626D589B"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Following rollout of the “Clean, Remind, </w:t>
      </w:r>
      <w:proofErr w:type="gramStart"/>
      <w:r w:rsidRPr="000848CA">
        <w:rPr>
          <w:rFonts w:ascii="Garamond" w:hAnsi="Garamond"/>
          <w:bCs/>
          <w:color w:val="404040" w:themeColor="text1" w:themeTint="BF"/>
        </w:rPr>
        <w:t>Thank</w:t>
      </w:r>
      <w:proofErr w:type="gramEnd"/>
      <w:r w:rsidRPr="000848CA">
        <w:rPr>
          <w:rFonts w:ascii="Garamond" w:hAnsi="Garamond"/>
          <w:bCs/>
          <w:color w:val="404040" w:themeColor="text1" w:themeTint="BF"/>
        </w:rPr>
        <w:t xml:space="preserve">” campaign, which included hiring covert observers to gather and report data and overt hand hygiene coaches in each unit, compliance increased to an average of 70% across the institution by May 2016. </w:t>
      </w:r>
    </w:p>
    <w:p w14:paraId="17ED2F5E"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Following implementation of the rewards program for high performing units and action plan requirement for those that were low performing, compliance further increased to 85% by May 2017. </w:t>
      </w:r>
    </w:p>
    <w:p w14:paraId="013EE2B3"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After this time period, improvement in compliance appeared to stagnate or slightly decrease over the course of the next several months; however, with recurrent implementation of action plans for low performing units and rewards and incentives for high performing units, this number again began to increase, reaching 91% by December 2017. </w:t>
      </w:r>
    </w:p>
    <w:p w14:paraId="648B8D52"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With decentralization of the hand hygiene coaches, compliance rates continued to improve, reaching 95% compliance by August 2018. As of August 2019, the institution has been successful at sustaining compliance rates at or above 95% each month for over a year. </w:t>
      </w:r>
    </w:p>
    <w:p w14:paraId="5F49F59D" w14:textId="6BD806D1" w:rsidR="000848CA" w:rsidRDefault="000848CA" w:rsidP="000848CA">
      <w:pPr>
        <w:rPr>
          <w:rFonts w:ascii="Garamond" w:hAnsi="Garamond"/>
          <w:bCs/>
          <w:color w:val="404040" w:themeColor="text1" w:themeTint="BF"/>
        </w:rPr>
      </w:pPr>
      <w:proofErr w:type="spellStart"/>
      <w:r w:rsidRPr="000848CA">
        <w:rPr>
          <w:rFonts w:ascii="Garamond" w:hAnsi="Garamond"/>
          <w:bCs/>
          <w:color w:val="404040" w:themeColor="text1" w:themeTint="BF"/>
        </w:rPr>
        <w:t>Cdiff</w:t>
      </w:r>
      <w:proofErr w:type="spellEnd"/>
      <w:r w:rsidRPr="000848CA">
        <w:rPr>
          <w:rFonts w:ascii="Garamond" w:hAnsi="Garamond"/>
          <w:bCs/>
          <w:color w:val="404040" w:themeColor="text1" w:themeTint="BF"/>
        </w:rPr>
        <w:t xml:space="preserve">/HAIs </w:t>
      </w:r>
      <w:r>
        <w:rPr>
          <w:rFonts w:ascii="Garamond" w:hAnsi="Garamond"/>
          <w:bCs/>
          <w:color w:val="404040" w:themeColor="text1" w:themeTint="BF"/>
        </w:rPr>
        <w:t>have also</w:t>
      </w:r>
      <w:r w:rsidRPr="000848CA">
        <w:rPr>
          <w:rFonts w:ascii="Garamond" w:hAnsi="Garamond"/>
          <w:bCs/>
          <w:color w:val="404040" w:themeColor="text1" w:themeTint="BF"/>
        </w:rPr>
        <w:t xml:space="preserve"> decreased as hand hygiene has increased.</w:t>
      </w:r>
    </w:p>
    <w:p w14:paraId="598A7929" w14:textId="77777777" w:rsidR="000848CA" w:rsidRPr="000848CA" w:rsidRDefault="000848CA" w:rsidP="000848CA">
      <w:pPr>
        <w:rPr>
          <w:rFonts w:ascii="Garamond" w:hAnsi="Garamond"/>
          <w:bCs/>
          <w:color w:val="404040" w:themeColor="text1" w:themeTint="BF"/>
        </w:rPr>
      </w:pPr>
    </w:p>
    <w:p w14:paraId="2F64FCDC" w14:textId="4D1BD8C0" w:rsidR="003A4945" w:rsidRDefault="003A4945" w:rsidP="003A4945">
      <w:pPr>
        <w:rPr>
          <w:rFonts w:ascii="Garamond" w:hAnsi="Garamond"/>
          <w:b/>
          <w:color w:val="404040" w:themeColor="text1" w:themeTint="BF"/>
        </w:rPr>
      </w:pPr>
      <w:r w:rsidRPr="007F17DE">
        <w:rPr>
          <w:rFonts w:ascii="Garamond" w:hAnsi="Garamond"/>
          <w:b/>
          <w:color w:val="404040" w:themeColor="text1" w:themeTint="BF"/>
        </w:rPr>
        <w:t>Conclusion</w:t>
      </w:r>
      <w:r w:rsidR="005E25BA">
        <w:rPr>
          <w:rFonts w:ascii="Garamond" w:hAnsi="Garamond"/>
          <w:b/>
          <w:color w:val="404040" w:themeColor="text1" w:themeTint="BF"/>
        </w:rPr>
        <w:t xml:space="preserve"> (rough draft)</w:t>
      </w:r>
      <w:r w:rsidRPr="007F17DE">
        <w:rPr>
          <w:rFonts w:ascii="Garamond" w:hAnsi="Garamond"/>
          <w:b/>
          <w:color w:val="404040" w:themeColor="text1" w:themeTint="BF"/>
        </w:rPr>
        <w:t>:</w:t>
      </w:r>
    </w:p>
    <w:p w14:paraId="50455285" w14:textId="1DF926AB" w:rsidR="003A4945" w:rsidRDefault="000848CA" w:rsidP="003A4945">
      <w:pPr>
        <w:rPr>
          <w:rFonts w:ascii="Garamond" w:hAnsi="Garamond"/>
          <w:bCs/>
          <w:color w:val="404040" w:themeColor="text1" w:themeTint="BF"/>
        </w:rPr>
      </w:pPr>
      <w:r w:rsidRPr="000848CA">
        <w:rPr>
          <w:rFonts w:ascii="Garamond" w:hAnsi="Garamond"/>
          <w:bCs/>
          <w:color w:val="404040" w:themeColor="text1" w:themeTint="BF"/>
        </w:rPr>
        <w:t>Relationship between communication openness and hand hygiene compliance – changing the culture – There is a graph in one of the PowerPoints that shows how as hand hygiene compliance improved, staff felt that communication was more open – we could discuss that making Michigan Medicine an environment where people felt valued and comfortable when speaking up about hand hygiene was vital for the success of this initiative.</w:t>
      </w:r>
    </w:p>
    <w:p w14:paraId="7C146A1E" w14:textId="77777777" w:rsidR="000848CA" w:rsidRP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 xml:space="preserve">Although “Clean Remind Thank” was the cornerstone of the initiative, each unit was allowed the flexibility to strategize to identify strategies that they could implement on their own unit in order to improve compliance. The Influencer Model was what they used to do so, which makes this a unique initiative among other institutions who have had similar hand hygiene initiatives. </w:t>
      </w:r>
    </w:p>
    <w:p w14:paraId="7A4D2BEF" w14:textId="7D597F96" w:rsidR="000848CA" w:rsidRDefault="000848CA" w:rsidP="000848CA">
      <w:pPr>
        <w:rPr>
          <w:rFonts w:ascii="Garamond" w:hAnsi="Garamond"/>
          <w:bCs/>
          <w:color w:val="404040" w:themeColor="text1" w:themeTint="BF"/>
        </w:rPr>
      </w:pPr>
      <w:r w:rsidRPr="000848CA">
        <w:rPr>
          <w:rFonts w:ascii="Garamond" w:hAnsi="Garamond"/>
          <w:bCs/>
          <w:color w:val="404040" w:themeColor="text1" w:themeTint="BF"/>
        </w:rPr>
        <w:t>The Concept of “The Influencer” The tendency to “drift” from expected behaviors is common. In order to bring people back to desired state, their behavior needs to be influenced. The Influencer is an improvement strategy to overwhelm the problem (any problem). Impact behavior when at least 4 of the 6 sources of influence are covered in your interventions.</w:t>
      </w:r>
    </w:p>
    <w:p w14:paraId="6D809F9A" w14:textId="18DD3438" w:rsidR="005E25BA" w:rsidRDefault="005E25BA" w:rsidP="000848CA">
      <w:pPr>
        <w:rPr>
          <w:rFonts w:ascii="Garamond" w:hAnsi="Garamond"/>
          <w:bCs/>
          <w:color w:val="404040" w:themeColor="text1" w:themeTint="BF"/>
        </w:rPr>
      </w:pPr>
      <w:r w:rsidRPr="005E25BA">
        <w:rPr>
          <w:rFonts w:ascii="Garamond" w:hAnsi="Garamond"/>
          <w:bCs/>
          <w:color w:val="404040" w:themeColor="text1" w:themeTint="BF"/>
        </w:rPr>
        <w:t xml:space="preserve">Throughout all of these initiatives, hand hygiene has been at the forefront of people’s minds – from hearing unit data at staff huddles, seeing the celebrations, getting the emails from IPE, it has been clear that hand hygiene has become part of the culture here at Michigan Medicine. Keeping it in people’s minds has helped them to build habits they did not have before, and established habits right away in new staff and students </w:t>
      </w:r>
      <w:r w:rsidRPr="005E25BA">
        <w:rPr>
          <w:rFonts w:ascii="Garamond" w:hAnsi="Garamond"/>
          <w:bCs/>
          <w:color w:val="404040" w:themeColor="text1" w:themeTint="BF"/>
        </w:rPr>
        <w:lastRenderedPageBreak/>
        <w:t>before any bad habits could form. Making it part of the culture has also made it a lot easier for people to speak up in a lighthearted way to ensure the hand hygiene guidelines are followed.</w:t>
      </w:r>
    </w:p>
    <w:p w14:paraId="11FA31EC" w14:textId="77777777" w:rsidR="000848CA" w:rsidRPr="000848CA" w:rsidRDefault="000848CA" w:rsidP="000848CA">
      <w:pPr>
        <w:rPr>
          <w:rFonts w:ascii="Garamond" w:hAnsi="Garamond"/>
          <w:bCs/>
          <w:color w:val="404040" w:themeColor="text1" w:themeTint="BF"/>
        </w:rPr>
      </w:pPr>
    </w:p>
    <w:p w14:paraId="78E0B902" w14:textId="5E56016D" w:rsidR="008D4586" w:rsidRPr="00B075CF" w:rsidRDefault="003A4945">
      <w:pPr>
        <w:rPr>
          <w:rFonts w:ascii="Garamond" w:hAnsi="Garamond"/>
          <w:b/>
          <w:color w:val="404040" w:themeColor="text1" w:themeTint="BF"/>
        </w:rPr>
      </w:pPr>
      <w:r w:rsidRPr="00B075CF">
        <w:rPr>
          <w:rFonts w:ascii="Garamond" w:hAnsi="Garamond"/>
          <w:b/>
          <w:color w:val="404040" w:themeColor="text1" w:themeTint="BF"/>
        </w:rPr>
        <w:t>Reflection/Impact Statement</w:t>
      </w:r>
      <w:r w:rsidR="00AC0FB9" w:rsidRPr="00B075CF">
        <w:rPr>
          <w:rFonts w:ascii="Garamond" w:hAnsi="Garamond"/>
          <w:b/>
          <w:color w:val="404040" w:themeColor="text1" w:themeTint="BF"/>
        </w:rPr>
        <w:t>:</w:t>
      </w:r>
    </w:p>
    <w:p w14:paraId="254E54E0" w14:textId="42D05363" w:rsidR="00B075CF" w:rsidRPr="00B075CF" w:rsidRDefault="005E25BA" w:rsidP="005E25BA">
      <w:pPr>
        <w:rPr>
          <w:rFonts w:ascii="Garamond" w:hAnsi="Garamond"/>
        </w:rPr>
      </w:pPr>
      <w:r w:rsidRPr="00B075CF">
        <w:rPr>
          <w:rFonts w:ascii="Garamond" w:hAnsi="Garamond"/>
        </w:rPr>
        <w:t xml:space="preserve">Since beginning my clinical rotations, I had been interested in </w:t>
      </w:r>
      <w:r w:rsidR="00B075CF">
        <w:rPr>
          <w:rFonts w:ascii="Garamond" w:hAnsi="Garamond"/>
        </w:rPr>
        <w:t>Michigan Medicine’s</w:t>
      </w:r>
      <w:r w:rsidRPr="00B075CF">
        <w:rPr>
          <w:rFonts w:ascii="Garamond" w:hAnsi="Garamond"/>
        </w:rPr>
        <w:t xml:space="preserve"> hand hygiene </w:t>
      </w:r>
      <w:r w:rsidR="00B075CF">
        <w:rPr>
          <w:rFonts w:ascii="Garamond" w:hAnsi="Garamond"/>
        </w:rPr>
        <w:t xml:space="preserve">initiative. </w:t>
      </w:r>
      <w:r w:rsidRPr="00B075CF">
        <w:rPr>
          <w:rFonts w:ascii="Garamond" w:hAnsi="Garamond"/>
        </w:rPr>
        <w:t>Hearing the compliance rates reported out at daily huddles and posted on boards on each individual unit was very impressive to me – the rates on compliance in the high 90</w:t>
      </w:r>
      <w:r w:rsidRPr="00B075CF">
        <w:rPr>
          <w:rFonts w:ascii="Garamond" w:hAnsi="Garamond"/>
          <w:vertAlign w:val="superscript"/>
        </w:rPr>
        <w:t>th</w:t>
      </w:r>
      <w:r w:rsidRPr="00B075CF">
        <w:rPr>
          <w:rFonts w:ascii="Garamond" w:hAnsi="Garamond"/>
        </w:rPr>
        <w:t xml:space="preserve"> percentile </w:t>
      </w:r>
      <w:proofErr w:type="gramStart"/>
      <w:r w:rsidRPr="00B075CF">
        <w:rPr>
          <w:rFonts w:ascii="Garamond" w:hAnsi="Garamond"/>
        </w:rPr>
        <w:t>were</w:t>
      </w:r>
      <w:proofErr w:type="gramEnd"/>
      <w:r w:rsidRPr="00B075CF">
        <w:rPr>
          <w:rFonts w:ascii="Garamond" w:hAnsi="Garamond"/>
        </w:rPr>
        <w:t xml:space="preserve"> much higher than the nationwide compliance rates that I had hear about.  When choosing my capstone for impact project, I wanted to become involved in this hand </w:t>
      </w:r>
      <w:r w:rsidR="00B075CF" w:rsidRPr="00B075CF">
        <w:rPr>
          <w:rFonts w:ascii="Garamond" w:hAnsi="Garamond"/>
        </w:rPr>
        <w:t>hygiene</w:t>
      </w:r>
      <w:r w:rsidRPr="00B075CF">
        <w:rPr>
          <w:rFonts w:ascii="Garamond" w:hAnsi="Garamond"/>
        </w:rPr>
        <w:t xml:space="preserve"> </w:t>
      </w:r>
      <w:r w:rsidR="00B075CF" w:rsidRPr="00B075CF">
        <w:rPr>
          <w:rFonts w:ascii="Garamond" w:hAnsi="Garamond"/>
        </w:rPr>
        <w:t>initiative</w:t>
      </w:r>
      <w:r w:rsidRPr="00B075CF">
        <w:rPr>
          <w:rFonts w:ascii="Garamond" w:hAnsi="Garamond"/>
        </w:rPr>
        <w:t xml:space="preserve">; however, rather than work to carry out the </w:t>
      </w:r>
      <w:r w:rsidRPr="00B075CF">
        <w:rPr>
          <w:rFonts w:ascii="Garamond" w:hAnsi="Garamond"/>
        </w:rPr>
        <w:t xml:space="preserve">steps of the project itself, </w:t>
      </w:r>
      <w:r w:rsidR="00B075CF" w:rsidRPr="00B075CF">
        <w:rPr>
          <w:rFonts w:ascii="Garamond" w:hAnsi="Garamond"/>
        </w:rPr>
        <w:t>I saw a need for an individual to</w:t>
      </w:r>
      <w:r w:rsidR="00B075CF" w:rsidRPr="00B075CF">
        <w:rPr>
          <w:rFonts w:ascii="Garamond" w:hAnsi="Garamond"/>
        </w:rPr>
        <w:t xml:space="preserve"> work to consolidate the various strategies that were implemented </w:t>
      </w:r>
      <w:r w:rsidR="00B075CF" w:rsidRPr="00B075CF">
        <w:rPr>
          <w:rFonts w:ascii="Garamond" w:hAnsi="Garamond"/>
        </w:rPr>
        <w:t xml:space="preserve">by Michigan Medicine that has allowed us </w:t>
      </w:r>
      <w:r w:rsidR="00B075CF" w:rsidRPr="00B075CF">
        <w:rPr>
          <w:rFonts w:ascii="Garamond" w:hAnsi="Garamond"/>
        </w:rPr>
        <w:t xml:space="preserve">to reach </w:t>
      </w:r>
      <w:r w:rsidR="00B075CF" w:rsidRPr="00B075CF">
        <w:rPr>
          <w:rFonts w:ascii="Garamond" w:hAnsi="Garamond"/>
        </w:rPr>
        <w:t>our institutional</w:t>
      </w:r>
      <w:r w:rsidR="00B075CF" w:rsidRPr="00B075CF">
        <w:rPr>
          <w:rFonts w:ascii="Garamond" w:hAnsi="Garamond"/>
        </w:rPr>
        <w:t xml:space="preserve"> hand hygiene goal </w:t>
      </w:r>
      <w:r w:rsidR="00B075CF" w:rsidRPr="00B075CF">
        <w:rPr>
          <w:rFonts w:ascii="Garamond" w:hAnsi="Garamond"/>
        </w:rPr>
        <w:t xml:space="preserve">of over 95% </w:t>
      </w:r>
      <w:r w:rsidR="00B075CF" w:rsidRPr="00B075CF">
        <w:rPr>
          <w:rFonts w:ascii="Garamond" w:hAnsi="Garamond"/>
        </w:rPr>
        <w:t>and to write a manuscript that would allow us to share this accomplishment with other health care institutions.</w:t>
      </w:r>
    </w:p>
    <w:p w14:paraId="35D1EFFB" w14:textId="77777777" w:rsidR="00B075CF" w:rsidRPr="00B075CF" w:rsidRDefault="005E25BA">
      <w:pPr>
        <w:rPr>
          <w:rFonts w:ascii="Garamond" w:hAnsi="Garamond"/>
        </w:rPr>
      </w:pPr>
      <w:r w:rsidRPr="00B075CF">
        <w:rPr>
          <w:rFonts w:ascii="Garamond" w:hAnsi="Garamond"/>
        </w:rPr>
        <w:t xml:space="preserve">Throughout the past year, I met and interviewed individuals from the Department of Infection Prevention and Epidemiology who were instrumental in carrying out with project, as well as the individuals who performed data collection and worked as hand hygiene coaches on the units. I have complied their stories and information, as well as information from quality improvement PowerPoints and posters from throughout the years into a first draft of a manuscript. I am currently waiting for the IPE leadership to make edits to the manuscript. After a few more meetings throughout the months of January and February 2020, </w:t>
      </w:r>
      <w:r w:rsidR="00B4668D" w:rsidRPr="00B075CF">
        <w:rPr>
          <w:rFonts w:ascii="Garamond" w:hAnsi="Garamond"/>
        </w:rPr>
        <w:t>I anticipate we will complete the</w:t>
      </w:r>
      <w:r w:rsidRPr="00B075CF">
        <w:rPr>
          <w:rFonts w:ascii="Garamond" w:hAnsi="Garamond"/>
        </w:rPr>
        <w:t xml:space="preserve"> manuscript and it</w:t>
      </w:r>
      <w:r w:rsidR="00B4668D" w:rsidRPr="00B075CF">
        <w:rPr>
          <w:rFonts w:ascii="Garamond" w:hAnsi="Garamond"/>
        </w:rPr>
        <w:t xml:space="preserve"> will hopefully reach publication soon after that. I know there is a lot of interest across the country in </w:t>
      </w:r>
      <w:r w:rsidR="00B075CF" w:rsidRPr="00B075CF">
        <w:rPr>
          <w:rFonts w:ascii="Garamond" w:hAnsi="Garamond"/>
        </w:rPr>
        <w:t xml:space="preserve">successful </w:t>
      </w:r>
      <w:r w:rsidR="00B4668D" w:rsidRPr="00B075CF">
        <w:rPr>
          <w:rFonts w:ascii="Garamond" w:hAnsi="Garamond"/>
        </w:rPr>
        <w:t>hand hygiene initiative</w:t>
      </w:r>
      <w:r w:rsidR="00B075CF" w:rsidRPr="00B075CF">
        <w:rPr>
          <w:rFonts w:ascii="Garamond" w:hAnsi="Garamond"/>
        </w:rPr>
        <w:t xml:space="preserve"> projects</w:t>
      </w:r>
      <w:r w:rsidR="00B4668D" w:rsidRPr="00B075CF">
        <w:rPr>
          <w:rFonts w:ascii="Garamond" w:hAnsi="Garamond"/>
        </w:rPr>
        <w:t xml:space="preserve">, so I anticipate the infection control departments at other </w:t>
      </w:r>
      <w:r w:rsidR="000848CA" w:rsidRPr="00B075CF">
        <w:rPr>
          <w:rFonts w:ascii="Garamond" w:hAnsi="Garamond"/>
        </w:rPr>
        <w:t>institutions</w:t>
      </w:r>
      <w:r w:rsidR="00B4668D" w:rsidRPr="00B075CF">
        <w:rPr>
          <w:rFonts w:ascii="Garamond" w:hAnsi="Garamond"/>
        </w:rPr>
        <w:t xml:space="preserve"> may benefit from</w:t>
      </w:r>
      <w:r w:rsidRPr="00B075CF">
        <w:rPr>
          <w:rFonts w:ascii="Garamond" w:hAnsi="Garamond"/>
        </w:rPr>
        <w:t xml:space="preserve"> implementing the</w:t>
      </w:r>
      <w:r w:rsidR="00B4668D" w:rsidRPr="00B075CF">
        <w:rPr>
          <w:rFonts w:ascii="Garamond" w:hAnsi="Garamond"/>
        </w:rPr>
        <w:t xml:space="preserve"> strategies </w:t>
      </w:r>
      <w:r w:rsidRPr="00B075CF">
        <w:rPr>
          <w:rFonts w:ascii="Garamond" w:hAnsi="Garamond"/>
        </w:rPr>
        <w:t xml:space="preserve">our institution utilized to </w:t>
      </w:r>
      <w:r w:rsidR="00B4668D" w:rsidRPr="00B075CF">
        <w:rPr>
          <w:rFonts w:ascii="Garamond" w:hAnsi="Garamond"/>
        </w:rPr>
        <w:t>improve hand hygiene compliance, which will hopefully lead to greater hand hygiene compliance and its associated benefits of fewer health care associated infection</w:t>
      </w:r>
      <w:r w:rsidRPr="00B075CF">
        <w:rPr>
          <w:rFonts w:ascii="Garamond" w:hAnsi="Garamond"/>
        </w:rPr>
        <w:t xml:space="preserve">s. This has the potential to help </w:t>
      </w:r>
      <w:r w:rsidR="00B4668D" w:rsidRPr="00B075CF">
        <w:rPr>
          <w:rFonts w:ascii="Garamond" w:hAnsi="Garamond"/>
        </w:rPr>
        <w:t>decrease health care costs and patient morbidity and mortality</w:t>
      </w:r>
      <w:r w:rsidRPr="00B075CF">
        <w:rPr>
          <w:rFonts w:ascii="Garamond" w:hAnsi="Garamond"/>
        </w:rPr>
        <w:t xml:space="preserve"> at institutions throughout the country</w:t>
      </w:r>
      <w:r w:rsidR="00B4668D" w:rsidRPr="00B075CF">
        <w:rPr>
          <w:rFonts w:ascii="Garamond" w:hAnsi="Garamond"/>
        </w:rPr>
        <w:t>.</w:t>
      </w:r>
    </w:p>
    <w:p w14:paraId="0577E880" w14:textId="5D9B7F57" w:rsidR="003F660C" w:rsidRPr="00B075CF" w:rsidRDefault="00B4668D">
      <w:pPr>
        <w:rPr>
          <w:rFonts w:ascii="Garamond" w:hAnsi="Garamond"/>
        </w:rPr>
      </w:pPr>
      <w:r w:rsidRPr="00B075CF">
        <w:rPr>
          <w:rFonts w:ascii="Garamond" w:hAnsi="Garamond"/>
        </w:rPr>
        <w:t xml:space="preserve">If I could give any advice to another student completing their CFI it would be to </w:t>
      </w:r>
      <w:r w:rsidR="000848CA" w:rsidRPr="00B075CF">
        <w:rPr>
          <w:rFonts w:ascii="Garamond" w:hAnsi="Garamond"/>
        </w:rPr>
        <w:t xml:space="preserve">start very early if you have a project that involves a team. It was </w:t>
      </w:r>
      <w:r w:rsidR="005E25BA" w:rsidRPr="00B075CF">
        <w:rPr>
          <w:rFonts w:ascii="Garamond" w:hAnsi="Garamond"/>
        </w:rPr>
        <w:t>often difficult</w:t>
      </w:r>
      <w:r w:rsidR="000848CA" w:rsidRPr="00B075CF">
        <w:rPr>
          <w:rFonts w:ascii="Garamond" w:hAnsi="Garamond"/>
        </w:rPr>
        <w:t xml:space="preserve"> to meet my own personal deadlines working with </w:t>
      </w:r>
      <w:r w:rsidR="005E25BA" w:rsidRPr="00B075CF">
        <w:rPr>
          <w:rFonts w:ascii="Garamond" w:hAnsi="Garamond"/>
        </w:rPr>
        <w:t>physicians</w:t>
      </w:r>
      <w:r w:rsidR="000848CA" w:rsidRPr="00B075CF">
        <w:rPr>
          <w:rFonts w:ascii="Garamond" w:hAnsi="Garamond"/>
        </w:rPr>
        <w:t xml:space="preserve"> and </w:t>
      </w:r>
      <w:r w:rsidR="005E25BA" w:rsidRPr="00B075CF">
        <w:rPr>
          <w:rFonts w:ascii="Garamond" w:hAnsi="Garamond"/>
        </w:rPr>
        <w:t>other individuals</w:t>
      </w:r>
      <w:r w:rsidR="000848CA" w:rsidRPr="00B075CF">
        <w:rPr>
          <w:rFonts w:ascii="Garamond" w:hAnsi="Garamond"/>
        </w:rPr>
        <w:t xml:space="preserve"> who were themselves very busy. Sending frequent reminder emails and scheduling regular meetings to make sure everyone was making progress towards the goal was essential</w:t>
      </w:r>
      <w:r w:rsidR="005E25BA" w:rsidRPr="00B075CF">
        <w:rPr>
          <w:rFonts w:ascii="Garamond" w:hAnsi="Garamond"/>
        </w:rPr>
        <w:t>.</w:t>
      </w:r>
      <w:r w:rsidR="000848CA" w:rsidRPr="00B075CF">
        <w:rPr>
          <w:rFonts w:ascii="Garamond" w:hAnsi="Garamond"/>
        </w:rPr>
        <w:t xml:space="preserve"> </w:t>
      </w:r>
      <w:r w:rsidR="00B075CF" w:rsidRPr="00B075CF">
        <w:rPr>
          <w:rFonts w:ascii="Garamond" w:hAnsi="Garamond"/>
        </w:rPr>
        <w:t>Another piece of advice may be to</w:t>
      </w:r>
      <w:r w:rsidR="00B075CF">
        <w:rPr>
          <w:rFonts w:ascii="Garamond" w:hAnsi="Garamond"/>
        </w:rPr>
        <w:t xml:space="preserve"> recognize what is really working well</w:t>
      </w:r>
      <w:r w:rsidR="00B075CF" w:rsidRPr="00B075CF">
        <w:rPr>
          <w:rFonts w:ascii="Garamond" w:hAnsi="Garamond"/>
        </w:rPr>
        <w:t xml:space="preserve"> at Michigan Medicine, what is something we do better than other places and why? This may be something you can share with other institutions and hospitals and may be a way to make a large-scale impact. </w:t>
      </w:r>
    </w:p>
    <w:p w14:paraId="43B44CEA" w14:textId="67BB6287" w:rsidR="00B4668D" w:rsidRPr="00B075CF" w:rsidRDefault="00B4668D">
      <w:pPr>
        <w:rPr>
          <w:rFonts w:ascii="Garamond" w:hAnsi="Garamond"/>
        </w:rPr>
      </w:pPr>
    </w:p>
    <w:sectPr w:rsidR="00B4668D" w:rsidRPr="00B075CF" w:rsidSect="003A4945">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293052"/>
    <w:multiLevelType w:val="hybridMultilevel"/>
    <w:tmpl w:val="FA6EE6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4945"/>
    <w:rsid w:val="000848CA"/>
    <w:rsid w:val="003A4945"/>
    <w:rsid w:val="003F660C"/>
    <w:rsid w:val="005E25BA"/>
    <w:rsid w:val="008D4586"/>
    <w:rsid w:val="00AC0FB9"/>
    <w:rsid w:val="00B075CF"/>
    <w:rsid w:val="00B466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B2F18"/>
  <w15:chartTrackingRefBased/>
  <w15:docId w15:val="{14A50BD7-DEB0-45E7-A396-1D483EDF5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9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945"/>
    <w:pPr>
      <w:ind w:left="720"/>
      <w:contextualSpacing/>
    </w:pPr>
  </w:style>
  <w:style w:type="paragraph" w:styleId="BalloonText">
    <w:name w:val="Balloon Text"/>
    <w:basedOn w:val="Normal"/>
    <w:link w:val="BalloonTextChar"/>
    <w:uiPriority w:val="99"/>
    <w:semiHidden/>
    <w:unhideWhenUsed/>
    <w:rsid w:val="003F66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66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5</Pages>
  <Words>2406</Words>
  <Characters>13720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Michigan Health System</Company>
  <LinksUpToDate>false</LinksUpToDate>
  <CharactersWithSpaces>16094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Haque, Samiah</dc:creator>
  <cp:keywords/>
  <dc:description/>
  <cp:lastModifiedBy>Jacqueline Vidosh</cp:lastModifiedBy>
  <cp:revision>3</cp:revision>
  <dcterms:created xsi:type="dcterms:W3CDTF">2019-09-28T17:44:00Z</dcterms:created>
  <dcterms:modified xsi:type="dcterms:W3CDTF">2020-01-14T23:25:00Z</dcterms:modified>
</cp:coreProperties>
</file>