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F15" w:rsidRDefault="004A7868">
      <w:hyperlink r:id="rId4" w:history="1">
        <w:r>
          <w:rPr>
            <w:rStyle w:val="Hyperlink"/>
          </w:rPr>
          <w:t>file:///C:/Users/kathcleo/AppData/Local/Box/Box%20Edit/Documents/_GwsTQlRT0KeNTZIMNWfdg==/oral_history_interviews_mode_single_recordID_000000000000000000000000000000000000000002154551_nextMode_list.html</w:t>
        </w:r>
      </w:hyperlink>
    </w:p>
    <w:tbl>
      <w:tblPr>
        <w:tblW w:w="4750" w:type="pct"/>
        <w:jc w:val="center"/>
        <w:tblCellSpacing w:w="0" w:type="dxa"/>
        <w:shd w:val="clear" w:color="auto" w:fill="FFFFFF"/>
        <w:tblCellMar>
          <w:left w:w="0" w:type="dxa"/>
          <w:right w:w="0" w:type="dxa"/>
        </w:tblCellMar>
        <w:tblLook w:val="04A0" w:firstRow="1" w:lastRow="0" w:firstColumn="1" w:lastColumn="0" w:noHBand="0" w:noVBand="1"/>
      </w:tblPr>
      <w:tblGrid>
        <w:gridCol w:w="4532"/>
        <w:gridCol w:w="4360"/>
      </w:tblGrid>
      <w:tr w:rsidR="004A7868" w:rsidRPr="004A7868" w:rsidTr="004A7868">
        <w:trPr>
          <w:tblCellSpacing w:w="0" w:type="dxa"/>
          <w:jc w:val="center"/>
        </w:trPr>
        <w:tc>
          <w:tcPr>
            <w:tcW w:w="0" w:type="auto"/>
            <w:gridSpan w:val="2"/>
            <w:shd w:val="clear" w:color="auto" w:fill="FFFFFF"/>
            <w:vAlign w:val="center"/>
            <w:hideMark/>
          </w:tcPr>
          <w:p w:rsidR="004A7868" w:rsidRPr="004A7868" w:rsidRDefault="004A7868" w:rsidP="004A7868">
            <w:pPr>
              <w:spacing w:after="0" w:line="240" w:lineRule="auto"/>
              <w:rPr>
                <w:rFonts w:ascii="Arial" w:eastAsia="Times New Roman" w:hAnsi="Arial" w:cs="Arial"/>
                <w:b/>
                <w:bCs/>
                <w:color w:val="000000"/>
                <w:sz w:val="18"/>
                <w:szCs w:val="18"/>
              </w:rPr>
            </w:pPr>
            <w:r w:rsidRPr="004A7868">
              <w:rPr>
                <w:rFonts w:ascii="Arial" w:eastAsia="Times New Roman" w:hAnsi="Arial" w:cs="Arial"/>
                <w:b/>
                <w:bCs/>
                <w:color w:val="000000"/>
                <w:sz w:val="18"/>
                <w:szCs w:val="18"/>
              </w:rPr>
              <w:t>Current record is </w:t>
            </w:r>
            <w:r w:rsidRPr="004A7868">
              <w:rPr>
                <w:rFonts w:ascii="Arial" w:eastAsia="Times New Roman" w:hAnsi="Arial" w:cs="Arial"/>
                <w:b/>
                <w:bCs/>
                <w:color w:val="666666"/>
                <w:sz w:val="18"/>
                <w:szCs w:val="18"/>
              </w:rPr>
              <w:t>#12</w:t>
            </w:r>
            <w:r w:rsidRPr="004A7868">
              <w:rPr>
                <w:rFonts w:ascii="Arial" w:eastAsia="Times New Roman" w:hAnsi="Arial" w:cs="Arial"/>
                <w:b/>
                <w:bCs/>
                <w:color w:val="000000"/>
                <w:sz w:val="18"/>
                <w:szCs w:val="18"/>
              </w:rPr>
              <w:t> out of </w:t>
            </w:r>
            <w:r w:rsidRPr="004A7868">
              <w:rPr>
                <w:rFonts w:ascii="Arial" w:eastAsia="Times New Roman" w:hAnsi="Arial" w:cs="Arial"/>
                <w:b/>
                <w:bCs/>
                <w:color w:val="666666"/>
                <w:sz w:val="18"/>
                <w:szCs w:val="18"/>
              </w:rPr>
              <w:t>45</w:t>
            </w:r>
            <w:r w:rsidRPr="004A7868">
              <w:rPr>
                <w:rFonts w:ascii="Arial" w:eastAsia="Times New Roman" w:hAnsi="Arial" w:cs="Arial"/>
                <w:b/>
                <w:bCs/>
                <w:color w:val="000000"/>
                <w:sz w:val="18"/>
                <w:szCs w:val="18"/>
              </w:rPr>
              <w:t> in found set (</w:t>
            </w:r>
            <w:r w:rsidRPr="004A7868">
              <w:rPr>
                <w:rFonts w:ascii="Arial" w:eastAsia="Times New Roman" w:hAnsi="Arial" w:cs="Arial"/>
                <w:b/>
                <w:bCs/>
                <w:color w:val="666666"/>
                <w:sz w:val="18"/>
                <w:szCs w:val="18"/>
              </w:rPr>
              <w:t>45</w:t>
            </w:r>
            <w:r w:rsidRPr="004A7868">
              <w:rPr>
                <w:rFonts w:ascii="Arial" w:eastAsia="Times New Roman" w:hAnsi="Arial" w:cs="Arial"/>
                <w:b/>
                <w:bCs/>
                <w:color w:val="000000"/>
                <w:sz w:val="18"/>
                <w:szCs w:val="18"/>
              </w:rPr>
              <w:t> total records in table)</w:t>
            </w:r>
          </w:p>
        </w:tc>
      </w:tr>
      <w:tr w:rsidR="004A7868" w:rsidRPr="004A7868" w:rsidTr="004A7868">
        <w:trPr>
          <w:tblCellSpacing w:w="0" w:type="dxa"/>
          <w:jc w:val="center"/>
        </w:trPr>
        <w:tc>
          <w:tcPr>
            <w:tcW w:w="0" w:type="auto"/>
            <w:shd w:val="clear" w:color="auto" w:fill="FFFFFF"/>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781"/>
              <w:gridCol w:w="161"/>
              <w:gridCol w:w="631"/>
              <w:gridCol w:w="161"/>
              <w:gridCol w:w="661"/>
            </w:tblGrid>
            <w:tr w:rsidR="004A7868" w:rsidRPr="004A7868">
              <w:trPr>
                <w:tblCellSpacing w:w="0" w:type="dxa"/>
              </w:trPr>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5" w:history="1">
                    <w:r w:rsidRPr="004A7868">
                      <w:rPr>
                        <w:rFonts w:ascii="Arial" w:eastAsia="Times New Roman" w:hAnsi="Arial" w:cs="Arial"/>
                        <w:color w:val="616163"/>
                        <w:sz w:val="18"/>
                        <w:szCs w:val="18"/>
                        <w:u w:val="single"/>
                      </w:rPr>
                      <w:t>List View</w:t>
                    </w:r>
                  </w:hyperlink>
                </w:p>
              </w:tc>
              <w:tc>
                <w:tcPr>
                  <w:tcW w:w="0" w:type="auto"/>
                  <w:vAlign w:val="center"/>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18"/>
                      <w:szCs w:val="18"/>
                    </w:rPr>
                    <w:t>  </w:t>
                  </w:r>
                </w:p>
              </w:tc>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6" w:history="1">
                    <w:r w:rsidRPr="004A7868">
                      <w:rPr>
                        <w:rFonts w:ascii="Arial" w:eastAsia="Times New Roman" w:hAnsi="Arial" w:cs="Arial"/>
                        <w:color w:val="616163"/>
                        <w:sz w:val="18"/>
                        <w:szCs w:val="18"/>
                        <w:u w:val="single"/>
                      </w:rPr>
                      <w:t>Search</w:t>
                    </w:r>
                  </w:hyperlink>
                </w:p>
              </w:tc>
              <w:tc>
                <w:tcPr>
                  <w:tcW w:w="0" w:type="auto"/>
                  <w:vAlign w:val="center"/>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18"/>
                      <w:szCs w:val="18"/>
                    </w:rPr>
                    <w:t>  </w:t>
                  </w:r>
                </w:p>
              </w:tc>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7" w:history="1">
                    <w:r w:rsidRPr="004A7868">
                      <w:rPr>
                        <w:rFonts w:ascii="Arial" w:eastAsia="Times New Roman" w:hAnsi="Arial" w:cs="Arial"/>
                        <w:color w:val="616163"/>
                        <w:sz w:val="18"/>
                        <w:szCs w:val="18"/>
                        <w:u w:val="single"/>
                      </w:rPr>
                      <w:t>Find All</w:t>
                    </w:r>
                  </w:hyperlink>
                </w:p>
              </w:tc>
            </w:tr>
          </w:tbl>
          <w:p w:rsidR="004A7868" w:rsidRPr="004A7868" w:rsidRDefault="004A7868" w:rsidP="004A7868">
            <w:pPr>
              <w:spacing w:after="0" w:line="240" w:lineRule="auto"/>
              <w:rPr>
                <w:rFonts w:ascii="Arial" w:eastAsia="Times New Roman" w:hAnsi="Arial" w:cs="Arial"/>
                <w:color w:val="000000"/>
                <w:sz w:val="18"/>
                <w:szCs w:val="18"/>
              </w:rPr>
            </w:pPr>
          </w:p>
        </w:tc>
        <w:tc>
          <w:tcPr>
            <w:tcW w:w="0" w:type="auto"/>
            <w:shd w:val="clear" w:color="auto" w:fill="FFFFFF"/>
            <w:vAlign w:val="center"/>
            <w:hideMark/>
          </w:tcPr>
          <w:tbl>
            <w:tblPr>
              <w:tblW w:w="0" w:type="auto"/>
              <w:jc w:val="right"/>
              <w:tblCellSpacing w:w="0" w:type="dxa"/>
              <w:tblCellMar>
                <w:top w:w="30" w:type="dxa"/>
                <w:left w:w="30" w:type="dxa"/>
                <w:bottom w:w="30" w:type="dxa"/>
                <w:right w:w="30" w:type="dxa"/>
              </w:tblCellMar>
              <w:tblLook w:val="04A0" w:firstRow="1" w:lastRow="0" w:firstColumn="1" w:lastColumn="0" w:noHBand="0" w:noVBand="1"/>
            </w:tblPr>
            <w:tblGrid>
              <w:gridCol w:w="621"/>
              <w:gridCol w:w="536"/>
              <w:gridCol w:w="536"/>
              <w:gridCol w:w="611"/>
            </w:tblGrid>
            <w:tr w:rsidR="004A7868" w:rsidRPr="004A7868">
              <w:trPr>
                <w:tblCellSpacing w:w="0" w:type="dxa"/>
                <w:jc w:val="right"/>
              </w:trPr>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8" w:history="1">
                    <w:r w:rsidRPr="004A7868">
                      <w:rPr>
                        <w:rFonts w:ascii="Arial" w:eastAsia="Times New Roman" w:hAnsi="Arial" w:cs="Arial"/>
                        <w:color w:val="616163"/>
                        <w:sz w:val="18"/>
                        <w:szCs w:val="18"/>
                        <w:u w:val="single"/>
                      </w:rPr>
                      <w:t>&lt;&lt;First</w:t>
                    </w:r>
                  </w:hyperlink>
                </w:p>
              </w:tc>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9" w:history="1">
                    <w:r w:rsidRPr="004A7868">
                      <w:rPr>
                        <w:rFonts w:ascii="Arial" w:eastAsia="Times New Roman" w:hAnsi="Arial" w:cs="Arial"/>
                        <w:color w:val="616163"/>
                        <w:sz w:val="18"/>
                        <w:szCs w:val="18"/>
                        <w:u w:val="single"/>
                      </w:rPr>
                      <w:t>&lt;Prev</w:t>
                    </w:r>
                  </w:hyperlink>
                </w:p>
              </w:tc>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10" w:history="1">
                    <w:r w:rsidRPr="004A7868">
                      <w:rPr>
                        <w:rFonts w:ascii="Arial" w:eastAsia="Times New Roman" w:hAnsi="Arial" w:cs="Arial"/>
                        <w:color w:val="616163"/>
                        <w:sz w:val="18"/>
                        <w:szCs w:val="18"/>
                        <w:u w:val="single"/>
                      </w:rPr>
                      <w:t>Next&gt;</w:t>
                    </w:r>
                  </w:hyperlink>
                </w:p>
              </w:tc>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hyperlink r:id="rId11" w:history="1">
                    <w:r w:rsidRPr="004A7868">
                      <w:rPr>
                        <w:rFonts w:ascii="Arial" w:eastAsia="Times New Roman" w:hAnsi="Arial" w:cs="Arial"/>
                        <w:color w:val="616163"/>
                        <w:sz w:val="18"/>
                        <w:szCs w:val="18"/>
                        <w:u w:val="single"/>
                      </w:rPr>
                      <w:t>Last&gt;&gt;</w:t>
                    </w:r>
                  </w:hyperlink>
                </w:p>
              </w:tc>
            </w:tr>
            <w:tr w:rsidR="004A7868" w:rsidRPr="004A7868">
              <w:trPr>
                <w:tblCellSpacing w:w="0" w:type="dxa"/>
                <w:jc w:val="right"/>
              </w:trPr>
              <w:tc>
                <w:tcPr>
                  <w:tcW w:w="0" w:type="auto"/>
                  <w:vAlign w:val="center"/>
                  <w:hideMark/>
                </w:tcPr>
                <w:p w:rsidR="004A7868" w:rsidRPr="004A7868" w:rsidRDefault="004A7868" w:rsidP="004A7868">
                  <w:pPr>
                    <w:spacing w:after="0" w:line="240" w:lineRule="auto"/>
                    <w:jc w:val="center"/>
                    <w:rPr>
                      <w:rFonts w:ascii="Arial" w:eastAsia="Times New Roman" w:hAnsi="Arial" w:cs="Arial"/>
                      <w:color w:val="000000"/>
                      <w:sz w:val="18"/>
                      <w:szCs w:val="18"/>
                    </w:rPr>
                  </w:pPr>
                </w:p>
              </w:tc>
              <w:tc>
                <w:tcPr>
                  <w:tcW w:w="0" w:type="auto"/>
                  <w:vAlign w:val="center"/>
                  <w:hideMark/>
                </w:tcPr>
                <w:p w:rsidR="004A7868" w:rsidRPr="004A7868" w:rsidRDefault="004A7868" w:rsidP="004A7868">
                  <w:pPr>
                    <w:spacing w:after="0" w:line="240" w:lineRule="auto"/>
                    <w:rPr>
                      <w:rFonts w:ascii="Times New Roman" w:eastAsia="Times New Roman" w:hAnsi="Times New Roman" w:cs="Times New Roman"/>
                      <w:sz w:val="20"/>
                      <w:szCs w:val="20"/>
                    </w:rPr>
                  </w:pPr>
                </w:p>
              </w:tc>
              <w:tc>
                <w:tcPr>
                  <w:tcW w:w="0" w:type="auto"/>
                  <w:vAlign w:val="center"/>
                  <w:hideMark/>
                </w:tcPr>
                <w:p w:rsidR="004A7868" w:rsidRPr="004A7868" w:rsidRDefault="004A7868" w:rsidP="004A7868">
                  <w:pPr>
                    <w:spacing w:after="0" w:line="240" w:lineRule="auto"/>
                    <w:rPr>
                      <w:rFonts w:ascii="Times New Roman" w:eastAsia="Times New Roman" w:hAnsi="Times New Roman" w:cs="Times New Roman"/>
                      <w:sz w:val="20"/>
                      <w:szCs w:val="20"/>
                    </w:rPr>
                  </w:pPr>
                </w:p>
              </w:tc>
              <w:tc>
                <w:tcPr>
                  <w:tcW w:w="0" w:type="auto"/>
                  <w:vAlign w:val="center"/>
                  <w:hideMark/>
                </w:tcPr>
                <w:p w:rsidR="004A7868" w:rsidRPr="004A7868" w:rsidRDefault="004A7868" w:rsidP="004A7868">
                  <w:pPr>
                    <w:spacing w:after="0" w:line="240" w:lineRule="auto"/>
                    <w:rPr>
                      <w:rFonts w:ascii="Times New Roman" w:eastAsia="Times New Roman" w:hAnsi="Times New Roman" w:cs="Times New Roman"/>
                      <w:sz w:val="20"/>
                      <w:szCs w:val="20"/>
                    </w:rPr>
                  </w:pPr>
                </w:p>
              </w:tc>
            </w:tr>
          </w:tbl>
          <w:p w:rsidR="004A7868" w:rsidRPr="004A7868" w:rsidRDefault="004A7868" w:rsidP="004A7868">
            <w:pPr>
              <w:spacing w:after="0" w:line="240" w:lineRule="auto"/>
              <w:jc w:val="right"/>
              <w:rPr>
                <w:rFonts w:ascii="Arial" w:eastAsia="Times New Roman" w:hAnsi="Arial" w:cs="Arial"/>
                <w:color w:val="000000"/>
                <w:sz w:val="18"/>
                <w:szCs w:val="18"/>
              </w:rPr>
            </w:pPr>
          </w:p>
        </w:tc>
      </w:tr>
    </w:tbl>
    <w:p w:rsidR="004A7868" w:rsidRPr="004A7868" w:rsidRDefault="004A7868" w:rsidP="004A7868">
      <w:pPr>
        <w:shd w:val="clear" w:color="auto" w:fill="FFFFFF"/>
        <w:spacing w:after="0" w:line="240" w:lineRule="auto"/>
        <w:jc w:val="center"/>
        <w:rPr>
          <w:rFonts w:ascii="Arial" w:eastAsia="Times New Roman" w:hAnsi="Arial" w:cs="Arial"/>
          <w:color w:val="000000"/>
          <w:sz w:val="18"/>
          <w:szCs w:val="18"/>
        </w:rPr>
      </w:pPr>
      <w:r w:rsidRPr="004A7868">
        <w:rPr>
          <w:rFonts w:ascii="Arial" w:eastAsia="Times New Roman" w:hAnsi="Arial" w:cs="Arial"/>
          <w:color w:val="000000"/>
          <w:sz w:val="18"/>
          <w:szCs w:val="18"/>
        </w:rPr>
        <w:pict>
          <v:rect id="_x0000_i1025" style="width:458.65pt;height:.75pt" o:hrpct="980" o:hralign="center" o:hrstd="t" o:hrnoshade="t" o:hr="t" fillcolor="#ccc" stroked="f"/>
        </w:pict>
      </w:r>
    </w:p>
    <w:tbl>
      <w:tblPr>
        <w:tblW w:w="4750" w:type="pct"/>
        <w:jc w:val="center"/>
        <w:tblCellSpacing w:w="0" w:type="dxa"/>
        <w:tblCellMar>
          <w:top w:w="60" w:type="dxa"/>
          <w:left w:w="60" w:type="dxa"/>
          <w:bottom w:w="60" w:type="dxa"/>
          <w:right w:w="60" w:type="dxa"/>
        </w:tblCellMar>
        <w:tblLook w:val="04A0" w:firstRow="1" w:lastRow="0" w:firstColumn="1" w:lastColumn="0" w:noHBand="0" w:noVBand="1"/>
      </w:tblPr>
      <w:tblGrid>
        <w:gridCol w:w="8892"/>
      </w:tblGrid>
      <w:tr w:rsidR="004A7868" w:rsidRPr="004A7868" w:rsidTr="004A7868">
        <w:trPr>
          <w:tblCellSpacing w:w="0" w:type="dxa"/>
          <w:jc w:val="center"/>
        </w:trPr>
        <w:tc>
          <w:tcPr>
            <w:tcW w:w="0" w:type="auto"/>
            <w:tcMar>
              <w:top w:w="60" w:type="dxa"/>
              <w:left w:w="79" w:type="dxa"/>
              <w:bottom w:w="60" w:type="dxa"/>
              <w:right w:w="60" w:type="dxa"/>
            </w:tcMar>
            <w:hideMark/>
          </w:tcPr>
          <w:tbl>
            <w:tblPr>
              <w:tblpPr w:leftFromText="45" w:rightFromText="45" w:vertAnchor="text"/>
              <w:tblW w:w="5000" w:type="pct"/>
              <w:tblCellSpacing w:w="45" w:type="dxa"/>
              <w:tblCellMar>
                <w:left w:w="0" w:type="dxa"/>
                <w:right w:w="0" w:type="dxa"/>
              </w:tblCellMar>
              <w:tblLook w:val="04A0" w:firstRow="1" w:lastRow="0" w:firstColumn="1" w:lastColumn="0" w:noHBand="0" w:noVBand="1"/>
            </w:tblPr>
            <w:tblGrid>
              <w:gridCol w:w="6827"/>
              <w:gridCol w:w="1926"/>
            </w:tblGrid>
            <w:tr w:rsidR="004A7868" w:rsidRPr="004A7868">
              <w:trPr>
                <w:tblCellSpacing w:w="45" w:type="dxa"/>
              </w:trPr>
              <w:tc>
                <w:tcPr>
                  <w:tcW w:w="600" w:type="dxa"/>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18"/>
                      <w:szCs w:val="18"/>
                    </w:rPr>
                    <w:t>Interviewee:</w:t>
                  </w:r>
                </w:p>
              </w:tc>
              <w:tc>
                <w:tcPr>
                  <w:tcW w:w="0" w:type="auto"/>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18"/>
                      <w:szCs w:val="18"/>
                    </w:rPr>
                    <w:t>Roland Griffiths</w:t>
                  </w:r>
                </w:p>
              </w:tc>
            </w:tr>
            <w:tr w:rsidR="004A7868" w:rsidRPr="004A7868">
              <w:trPr>
                <w:tblCellSpacing w:w="45" w:type="dxa"/>
              </w:trPr>
              <w:tc>
                <w:tcPr>
                  <w:tcW w:w="600" w:type="dxa"/>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18"/>
                      <w:szCs w:val="18"/>
                    </w:rPr>
                    <w:t>Interviewer(s):</w:t>
                  </w:r>
                </w:p>
              </w:tc>
              <w:tc>
                <w:tcPr>
                  <w:tcW w:w="0" w:type="auto"/>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18"/>
                      <w:szCs w:val="18"/>
                    </w:rPr>
                    <w:t>Nancy Campbell</w:t>
                  </w:r>
                </w:p>
              </w:tc>
            </w:tr>
            <w:tr w:rsidR="004A7868" w:rsidRPr="004A7868">
              <w:trPr>
                <w:tblCellSpacing w:w="45" w:type="dxa"/>
              </w:trPr>
              <w:tc>
                <w:tcPr>
                  <w:tcW w:w="0" w:type="auto"/>
                  <w:gridSpan w:val="2"/>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18"/>
                      <w:szCs w:val="18"/>
                    </w:rPr>
                    <w:pict>
                      <v:rect id="_x0000_i1026" style="width:444.6pt;height:.75pt" o:hrpct="950" o:hralign="center" o:hrstd="t" o:hrnoshade="t" o:hr="t" fillcolor="#ccc" stroked="f"/>
                    </w:pict>
                  </w:r>
                </w:p>
              </w:tc>
            </w:tr>
            <w:tr w:rsidR="004A7868" w:rsidRPr="004A7868">
              <w:trPr>
                <w:tblCellSpacing w:w="45" w:type="dxa"/>
              </w:trPr>
              <w:tc>
                <w:tcPr>
                  <w:tcW w:w="0" w:type="auto"/>
                  <w:gridSpan w:val="2"/>
                  <w:hideMark/>
                </w:tcPr>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NANCY CAMPBELL:  Please describe the pathway that you took into addiction research, and tell me when you first began to identify yourself as an addiction researcher.</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ROLAND GRIFFITHS:  Probably sometime in graduate school at the University of Minnesota from ’68 to ’72, where I studied with Travis Thompson in an interdisciplinary training program of experimental psychology and pharmacology -- psychopharmacology.  It was a new interdisciplinary field.  We identified ourselves first and foremost as behavioral pharmacologists with training in the experimental analysis of behavior.  I continue to identify myself first as a behavioral pharmacologist with interest in drug behavior interactions.  I’m interested both in basic pharmacology and in the interaction of pharmacology with behavior.</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Because funding opportunities in behavioral pharmacology are largely driven by pressing social policy issues like drug abuse, it’s not surprising that many behavior pharmacologists find themselves involved in the drug abuse area.  My thesis research was pretty esoteric, pure behavioral pharmacology -- looking at drug interactions on extinction responding in rats.  However, during the course of my graduate studies I ended up doing work with Roy Pickens and George Bigelow at University of Minnesota Hospitals with a chronic alcoholic, looking at behavioral contingencies that would modify self-administration.  We were adapting paradigms that had been developed initially by Travis Thompson and Bob Schuster.  Some of the first work with drug self-administration in animals was by Jim Weeks and Tomoji Yanagita.  Travis Thompson and Bob Schuster had published seminal work on self-administration in rhesus monkeys.  Travis Thompson was part of the core psychopharmacology training program at the University of Minnesota.  He’s one of the pivotal mentors in the field, although he </w:t>
                  </w:r>
                  <w:r w:rsidRPr="004A7868">
                    <w:rPr>
                      <w:rFonts w:ascii="Arial" w:eastAsia="Times New Roman" w:hAnsi="Arial" w:cs="Arial"/>
                      <w:color w:val="000000"/>
                      <w:sz w:val="27"/>
                      <w:szCs w:val="27"/>
                    </w:rPr>
                    <w:lastRenderedPageBreak/>
                    <w:t>subsequently became involved in autism and developmental disabilities, and so probably would no longer identify himself as a drug abuse researcher.  But he was core to the training program and worked closely with Roy Pickens, who had come as a postdoc to University of Minnesota, and subsequently went onto the faculty.  By the time George Bigelow and I got there, Roy Pickens was on the faculty.  George Bigelow preceded me.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When I came in ’68, George was a postdoc at University of Minnesota.  George Bigelow and I started collaborating in ’68.  He was working with Travis Thompson on rhesus monkey self-administration in free-ranging animals that had backpacks, were free to move through a series of interconnected cages, and could press levers to get injections from syringes that were mounted in their backpacks.  I thought that sounded outrageously cool.  George Bigelow and I started working together there, and we continue to work together to this day.  It may be one of the longest collaborations in the history of addictions – 37 years.  Perhaps there are others, but it’s pretty remarkable, actually.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What do you think makes that collaboration work?  How do you go about exchanging ideas and methodologies?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George has been a remarkable linchpin to our whole program at Johns Hopkins.  He’s headed up the human behavioral pharmacology effort.  When George left Minnesota in ’71, having completed his postdoc, he went to Johns Hopkins, and I came about a year later.  We went to work jointly in animal and human behavioral pharmacology.  Initially all our work was drug self-administration -- working with Joe Brady and Jack Findley in the animal lab and Ira Liebson in the human lab.  Maxine Stitzer joined us in the human lab in ’75.  That unit has prospered and grown, and become a wonderful environment and training opportunity.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How does that happen?  A lot of that is a reflection of who George is.  He’s one of the most thoughtful, smart, unassuming, and scientifically and personally generous people that I know.  So he’s a very easy person with whom to collaborate because he doesn’t appear to have the egoic attachments that many people do.  It’s easy to collaborate with him without feeling that you’re in competition with him.  He is very generative, fun and easy to work with.  I have nothing </w:t>
                  </w:r>
                  <w:r w:rsidRPr="004A7868">
                    <w:rPr>
                      <w:rFonts w:ascii="Arial" w:eastAsia="Times New Roman" w:hAnsi="Arial" w:cs="Arial"/>
                      <w:color w:val="000000"/>
                      <w:sz w:val="27"/>
                      <w:szCs w:val="27"/>
                    </w:rPr>
                    <w:lastRenderedPageBreak/>
                    <w:t>but great personal admiration for him, both as a scientist and as a person.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Although your experience at Minnesota was formative, was it primarily the other postdocs and people who you’re your peers, who became important to you?</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If you look at the people Travis Thompson trained, they include George Bigelow; myself; Dave Penetar; Jack Henningfield; Dick Meisch; John Grabowski; Tom Kelly; Don Cherek, Jim Smith, Alice Young and others who continue to be active in drug abuse research today.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So tell me what he did.  What was training for Travis Thompson?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Part of the core of behavioral pharmacology reflected the zeitgeist of the time, at least in psychopharmacology at the University of Minnesota.  It was Travis Thompson and Kenneth MacCorquodale were the most influential professors in our program.  Kenneth MacCorquodale is a larger-than-life figure in my mind in the area of the experimental analysis of behavior.  He was a student of Skinner.  The experimental analysis of behavior – behaviorism, if you will, Skinnerian behaviorism – seemed to me as a new graduate student to explain everything about the way the world worked.  We came into graduate school and were given an understanding, almost a philosophy of life, the key to the nature of the way behavior occurs.  We were radical behaviorists at the time.  We wanted to explain everything in terms of stimulus response interactions, partly Skinnerian, but also Pavlovian or classical conditioning and operant reinforcement.  It gave us a paradigm and a methodology in which to work.</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Travis Thompson and Bob Schuster had written a seminal book called Behavioral Pharmacology.  Kenneth MacCorquodale laid out the experimental analysis of behavior in an incredibly forceful, articulate, persuasive manner.  Travis Thompson took that frame and moved it into behavioral pharmacology. I think he probably was a student of Kenneth MacCorquodale’s, because he had trained at Minnesota and stayed on at Minnesota.  Travis Thompson was ready to explain everything about drug behavior interactions using this paradigm and </w:t>
                  </w:r>
                  <w:r w:rsidRPr="004A7868">
                    <w:rPr>
                      <w:rFonts w:ascii="Arial" w:eastAsia="Times New Roman" w:hAnsi="Arial" w:cs="Arial"/>
                      <w:color w:val="000000"/>
                      <w:sz w:val="27"/>
                      <w:szCs w:val="27"/>
                    </w:rPr>
                    <w:lastRenderedPageBreak/>
                    <w:t>methodology.  It gave us the chutzpah to attack problems that might otherwise overwhelm other people that didn’t have “the answer”.</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I think it was that -- a confidence we had that this was the way to proceed.  We knew how to do science.  We had studied the experimental analysis behavior that provided a very powerful methodology for approaching analysis of experimental relationships in behavior and in pharmacology.  We were confident we knew how to do that and knew how to answer really interesting questions.  If you go back to that text, Behavioral Pharmacology, it’s brilliant.  It lays out a methodological approach that ultimately could encompass animals pressing levers in boxes, or an explanation for complex social behavior or verbal phenomena.  We had this confidence that came out of that training experience.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Travis was a remarkably effective teacher without being overbearing.  He was a very hands-off mentor.  I don’t remember him ever telling me what to do or really suggesting very much to me.  It seemed like I came to him with my own ideas, yet he ended up with all these very productive and effective students who went off into the drug abuse area.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So did you know what you were getting into when you went there?  Did you go intending to participate in this?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 was initially premed as an undergraduate student and I was interested in drug-behavior interactions.  I had done a thesis and published a paper on drug-behavior interactions.  But I really didn’t know what I was getting myself into.</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Did you have the sense, even at the time, that this was a paradigm shift, that whatever had happened before in that field, this was new?</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Yes.  The experimental analysis of behavior was a paradigm shift and behavioral pharmacology was a new paradigm.  We were being given something that was sparkling and shiny and new.  We could run with it and make it happen.  We had the confidence that this was the way to answer the questions at hand.  That was the Minnesota  environment.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lastRenderedPageBreak/>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Getting now back to the question about when did I identify myself as an addiction scientist, it was when Pickens and Bigelow and I did a study with a chronic alcoholic using that paradigm and the whole methodology.  What was unprecedented, I believe, was that we were going at it from the standpoint of the single-subject design.  Psychopharmacology researchers generally used group designs.  We studied a chronic alcoholic on an inpatient psychiatry unit by giving him unlimited access to alcohol.  He would come up and get drinks at the nurses station, and we measured his consumption and looked at the pattern of behavior that developed.  We were interested in characterizing the behavior.   What did alcohol self-administration really look like?  Then we started introducing contingencies on that baseline of drinking -- asking, how can you decrease drinking now that you have a stable baseline? We didn’t put any kind of psychodynamic or psychopathology interpretation on it.  Our training made us blind to that, even hostile to that, because we “knew” that everything important resided in behavior.  I consider that naïve now, but it served us well then for this paradigm shift.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At the end of my graduate studies I wrote a conceptual paper with Travis Thompson on factors that control drug dependence and different behavioral mechanisms that underlie drug abuse.  He let me go off to Germany to present this paper at a Bayer symposium, which was really exciting for a graduate student.  When I subsequently went to Hopkins in ’72, I went into an animal drug self-administration laboratory and a human drug self-administration laboratory,  splitting my time between the two.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Let me ask you about the study with the single subject, were you at all aware of other studies done at the AddictionResearch Center in Lexington, Kentucky?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RG:  No, I had no map of the field.  Whether Pickens did, I don’t know.   I think most of the students in our training program were largely ignorant about the ARC.  As a matter of fact, at that Bayer symposium where I presented this paper on behavioral influences on drug self-administration, I said something about maintaining people in long-term antagonist treatment to extinguish drug self-administration behavior.  We outlined different ways of to approach it.  Driving to the </w:t>
                  </w:r>
                  <w:r w:rsidRPr="004A7868">
                    <w:rPr>
                      <w:rFonts w:ascii="Arial" w:eastAsia="Times New Roman" w:hAnsi="Arial" w:cs="Arial"/>
                      <w:color w:val="000000"/>
                      <w:sz w:val="27"/>
                      <w:szCs w:val="27"/>
                    </w:rPr>
                    <w:lastRenderedPageBreak/>
                    <w:t>airport after the meeting, I was in a taxi with Bill Martin, who I didn’t know and had never met.  In the course of that drive he said something to the effect, you do realize that we have extensively studied the narcotic antagonists?  And here I was, a student --it was clear that he expected me to know of that work and I didn’t have a clue and felt really quite embarrassed.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Was he reasonably tactful?</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 don’t think he was trying to be tactful, I mean, it literally was, “You do realize that we have done this.”  I don’t know if that’s tactful or not.  He was commenting on the fact that I hadn’t acknowledged and cited his work in the course of that presentation.  I don’t think he was tactless.  But he was quite a presence -- a forceful, bright guy.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Did you have an awareness of the field or CPDD?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No.  I had zero awareness of CPDD.  We “knew” the answers.  We “knew” no one else knew the answers.  Thinking back to my first years at Johns Hopkins, there was this baboon self-administration laboratory that I stepped into.  Unfortunately, Jack Findley, who was a brilliant scientist who had a long history of working with Joe Brady, developed significant psychiatric problems, and dropped out of the field entirely just about the time that I got to Hopkins.  That left an opportunity and an opening for me that I stepped into.  We were setting up the methodologies.  Schuster and Thompson had laid some of it out, and we just stepped right into issues of heroin self-administration and developing methods to look at choice between food and drug and progressive ratio methodology.  All the choice methodologies and progressive ratio methodologies were born at that time – in Schuster’s lab, Thompson’s lab, our lab and others.  It was a rich time of experimental exchange, but beyond the operant work, I didn’t know of anyone doing anything that came close to what we were doing there.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The human work was fascinatingly different.  When I came to Hopkins with George, there was an existing alcohol grant that had originally been given to Lou Fallaice.  Ira Liebson and Miriam Cohen had been working on that project on behavioral approaches to alcoholism.  The site was Baltimore City Hospitals before Hopkins took it over.  They had </w:t>
                  </w:r>
                  <w:r w:rsidRPr="004A7868">
                    <w:rPr>
                      <w:rFonts w:ascii="Arial" w:eastAsia="Times New Roman" w:hAnsi="Arial" w:cs="Arial"/>
                      <w:color w:val="000000"/>
                      <w:sz w:val="27"/>
                      <w:szCs w:val="27"/>
                    </w:rPr>
                    <w:lastRenderedPageBreak/>
                    <w:t>an alcohol unit.  Ira Liebson, who is just retiring at the end of this month, had done some work with alcoholics and drinking.  George came in and knew exactly what to do with the laboratory, and I followed George within a year to do human behavioral pharmacology.  We were going to do human drug self-administration and drug behavior interactions.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So we knew everything we needed to know about the field.  It was with great zeal, but complete naïveté, that we stepped into this.  George started with alcohol self-administration, and I very soon started with sedative self-administration.  All of our early work was characterized by intensive single-subject designs and parametric manipulations using the kinds of methods that come straight out of the experimental analysis of behavior.  It was a new paradigm because the Lexington folks had been doing drug abuse research for years, but they were using classical clinical pharmacology methods, group designs, statistical analyses, and classical pharmacology approaches that are very powerful, and about which we were completely ignorant. Undoubtedly we thought that our methods were better and much more interesting because we were going to get to the core of the drug abuse problem.  So that there was that sense of glee and naïveté that led us down that line.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I remember writing my first grant at Hopkins in human behavioral pharmacology.  It wasn’t drug abuse, it was just looking at drug behavior interactions.  But the grant went to an NIH study section, and Mitch Balter was the exec-sec.  He had come up and visited us.  I think he was a little befuddled about what we were proposing because it was so completely unlike anything that the federal grant study section had ever seen before.  I’m sure it seemed somewhat bizarre to other scientists.  We were talking about “verbal behavior” and putting throat microphones on people to measure switch closures.  We wanted to look at rate-dependent effects of drugs and the effects of drugs on punished behavior.  We were trying to directly translate animal behavioral pharmacology methods to humans.  When I called Mitch Balter up after the study section meeting, he said, “You might as well sharpen your pencil,” meaning that the grant needed to be resubmitted.  It’s actually one of the only grants I’ve ever had to resubmit and it was the first grant I had written.  But the primary reason it wasn’t funded  the first time was that it was unlike anything anyone on </w:t>
                  </w:r>
                  <w:r w:rsidRPr="004A7868">
                    <w:rPr>
                      <w:rFonts w:ascii="Arial" w:eastAsia="Times New Roman" w:hAnsi="Arial" w:cs="Arial"/>
                      <w:color w:val="000000"/>
                      <w:sz w:val="27"/>
                      <w:szCs w:val="27"/>
                    </w:rPr>
                    <w:lastRenderedPageBreak/>
                    <w:t>study section had seen before.  So it was that new perspective that we brought to addiction research.  George had a major alcohol grant.  I had a sedative grant that was funded in the ‘70s and continues to this day.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When did it dawn on you that you were over-confident? When did your confidence begin to wane a little bit about the capacity of behavioral analysis to explain everything?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The first time I went to a CPDD meeting was probably mid-‘70s, maybe 1975 and at that meeting, ISGIDAR was formed as a satellite session to CPDD, the International Study Group Investigating Drugs as Reinforcers.  What it really was a group of behavioral pharmacologists who “had the answer”.  The reason that we had a satellite session was that we couldn’t get papers accepted by CPDD.  We were on the outside, Woods, Schuster, Thompson, the Hopkins group, and a number of others interested in drugs as reinforcers.  For the first couple CPDD meetings, we either couldn’t get papers accepted; or, if they were accepted, they were accepted for a session on the afternoon of the last day when most people had left the meeting.  It was Jim Woods who commented that behavioral pharmacology was the bastard child of the disciplines in the drug abuse area.  It was clear we had no standing in that field.  We were coming into this area, and we were simply discounted.  Now it’s remarkable, if you look at the people on the board of directors of CPDD to see how many people on the board of directors might identify themselves as behavioral pharmacologists. I was among the earliest behavioral pharmacologists to be on the board.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So how did it happen that you went from being on the outside to becoming the core of the main organization?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RG:  I think we were doing important research.  We were publishing research that couldn’t be ignored.  The animal drug self-administration work just had way too much power to be ignored.  In animal research, the ARC was using a lot of physiological measurement, such as the spinal dog preparation, and classical pharmacology methods.  But animal drug self-administration provided a model that had face validity and showed a powerful correspondence between drug-taking and human behavior because the drugs that are self-administered by laboratory animals are the same as those that are abused by humans.  The drug abuse field simply couldn’t ignore the power of the </w:t>
                  </w:r>
                  <w:r w:rsidRPr="004A7868">
                    <w:rPr>
                      <w:rFonts w:ascii="Arial" w:eastAsia="Times New Roman" w:hAnsi="Arial" w:cs="Arial"/>
                      <w:color w:val="000000"/>
                      <w:sz w:val="27"/>
                      <w:szCs w:val="27"/>
                    </w:rPr>
                    <w:lastRenderedPageBreak/>
                    <w:t>animal methods.  Today if you go into animal sessions at CPDD, people may not identify themselves as behavioral pharmacologists, but they’re using those methodologies.  Self-administration, reinstatement, place preference, or drug discrimination are all methods developed by behavioral pharmacologists.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Could you explain place preference to me briefly?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Place preference is actually the one paradigm that might not be fully claimed as a methodology of behavioral pharmacology per se.  It’s kind of a Pavlovian conditioning model where they’ll put an animal in, for example, a dark chamber and give them an injection of morphine.  In a subsequent session they’ll put the animal in a light chamber and give them an injection of saline.  Finally, they’ll allow the animal access to both chambers simultaneously, and they’ll see what side the animal hangs out in.  It’s a classical conditioned affinity for one side of the environment.  Today you’ll find many scientists at CPDD who identify themselves as neuroscientists.  This may be analogous to behavioral pharmacology 30 years ago.  Pharmacology and psychology had just married when I started.  Today you have interdisciplinary neuroscience, which is much broader.  You have people that identify themselves as neuroscientists, but are trained in self-administration or drug discrimination and can use these methods very effectively.  Those methodologies have just become adapted and absorbed by the field.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Can you help me with the succession of approaches?  Are you suggesting that neuroscience has incorporated behavioral techniques – methodologies.  Is neuroscience now ascendant?  Has it displaced behavioral pharmacology? Is it a different paradigm?</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It depends on what questions you’re asking.  Behavioral pharmacology continues be used as a tool to understand pharmacology.  As the neurosciences developed, behavioral pharmacology has become a tool to understand neuroscience as it expresses itself in behavior.  This whole drug abuse field now is trying to understand the neuropharmacology of drug-taking behavior.  But core to that are still those behavioral methods.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lastRenderedPageBreak/>
                    <w:t>Theoretically, there may come a point where we know enough about the nervous system and enough about the nature of internal reinforcement mechanisms that we no longer need behavior as the sole pointer toward that.  Then we can start looking at neuroimaging and different centers of the brain that are going to light up or be intricately involved in the nature of reinforcement.  Right now we still need to continually tag it to behavior.  Behavior is integral in this whole process.  Behavioral pharmacology just seems narrow.  I don’t want to say behavioral pharmacology is “obsolete,” but it’s a smaller piece of the puzzle.  You can answer many more questions without giving a drug now – for example, you can now do precision genetic modifications or precision lesions.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Would the other potentially paradigm-shifting direction be genetics?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Roy Pickers got involved in genetics after he was involved in the drug self-administration stuff.  He became intrigued with the twin studies when he was at University of Minnesota, which is one of the twin bank sites. Let’s see, did that create a paradigm shift?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Perhaps not in terms of complete displacement, but more like succession...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I’m not even sure it’s succession.  It is cumulative.  It adds complexity.  Behavioral pharmacology is looking at drug behavior interactions, so you’re limited to drug manipulations and behavior.  You’re looking at what behavior can tell you about drugs, and what drugs can tell you about behavior.  What can genetic probes tell you about behavior?  What can they tell you about drugs?  What are the interactions there?  You could make the same point about  neuroscience research.  By limiting the focus of research to drugs, it becomes an incredibly narrowed domain of independent and dependent variables.  Pharmacology is still at the core of this thing.  One of the driving factors, of course, is the pharmaceutical industry that’s developing new compounds for different applications.  Behavior screens are still at the core of that developmental effort.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lastRenderedPageBreak/>
                    <w:t>NC:  When you look at your career and your publication record, do you see divisions or a continuous line?  Are you in many ways still doing what you began doing?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For reasons that are not entirely clear to me, I was fortunate enough to go into both the animal and the human laboratory and actually stay involved in them for all these years.  Recently, I’m switching mostly over to the human laboratory but up until a few years ago I considered myself split 50/50.  I felt like I integrated animal and human research.  If you look at my publications, they speak to one another.  The animal methodologies, I applied to humans, and vice versa.  I studied similar kinds of questions and similar kinds of drugs and wrote several reviews that pivot off of the similarities of animal and human behavioral pharmacology.  Maxine Stitzer has identified one of my 1980 reviews as a classic review, “Similarities in Animal and Human Behavior.”  And she laid out the case for it being a seminal review.  It was a chapter of a book edited by Nancy Mello.  Actually that paper plays off the paper that I wrote with Travis Thompson and presented at the Bayer symposium.  It’s a hugely expanded version that makes the point that there are complete parallels between animal and human drug-taking behavior.  It played off of the zeitgeist of the time, that these factors and approaches were common, and we could do similar kinds of manipulations and get analogous results in animals and humans.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Is it “Similarities in Animal and Human Drug-Taking Behavior”?</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Yes, that’s it. So there was a change.  In the human work, I started out completely behavioral and then increasingly adapted classic methods developed originally by the ARC, particularly in the area of drug abuse liability testing in humans.  Our approach actually started questioning behavioral approaches and started drawing more on work that the ARC had done, at least in terms of my abuse liability work.  An awful lot of stuff that I do now has subjective ratings in it.  My first human drug self-administration papers and my early drug reinforcement papers didn’t even have a subjective questionnaire.  It didn’t occur to me that there was any value at all to asking people how they felt.  That’s how disrespectful I was of subjective effects.  That’s changed a lot, but I would have to say that I continue to have a huge skepticism about what people have to say.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lastRenderedPageBreak/>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How do you manage that skepticism, and what role does it play in how you do your work?</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It depends on the question being asked.  One of the things that we’ve developed that is conceptually important and interesting is continuing to use choice procedures or actual measures of drug reinforcement in ultimately assessing the reinforcing effects of drugs instead of accepting simple liking – “I like this” – as an indication of abuse liability.  Ultimately, that has to be grounded in some contingency-based measure. You can do that with choice studies or self-administration studies.  Those tend to be parametrically more complex to do so we’ve developed variants of that.  We have one variation of that called the “multiple-choice procedure,” in which people make a series of choices between getting the drug again and getting different amounts of money.  It’s a way of broadening the amount of information you can pull out of a choice procedure, yet it still remains grounded in empirical reality because one of the choices the people make is going to pay off.  Currently there are lots of variations on that kind of theme, if you look at what people are doing with human behavior in the human drug addiction laboratory.  Some people are using progressive ratio schedules; some are using straight choice procedures; some are using variations of choice procedures that have different payoff matrices.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Did you think about that as having treatment implications, sort of like contingency management?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RG:  No, it was thought about as just a practical way to measure choice and get more information.  Consider a single choice: if you give someone a drug, and ask them, would you like that drug or would you like $10?, and they say, well, I’ll take the drug again.  Then you give them the drug again and you have one data point.  It takes a long time.  Alternatively, what if you said, would you like that drug again, or $10?, or would you like that drug again or $5?, and we’re going to randomly pick one from that.  And then they say, well, I would take  $10 over the drug, but I would take the drug in preference to $5.  Now they’ve given you two data points, and then you could randomly pick one of those choices to consequate.  You have twice as much information.  We used that as a strategy for getting people to make a </w:t>
                  </w:r>
                  <w:r w:rsidRPr="004A7868">
                    <w:rPr>
                      <w:rFonts w:ascii="Arial" w:eastAsia="Times New Roman" w:hAnsi="Arial" w:cs="Arial"/>
                      <w:color w:val="000000"/>
                      <w:sz w:val="27"/>
                      <w:szCs w:val="27"/>
                    </w:rPr>
                    <w:lastRenderedPageBreak/>
                    <w:t>whole series of choices very efficiently, but it’s still grounded in a contingency-based reality.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Once you get lots and lots of choices in there, it starts approximating a subjective effect questionnaire.  Although the probability of an actual payoff is 100 percent, the probability of a single payoff becomes low.  There’s all kinds of complexities introduced that we haven’t entirely figured out yet.  It’s still a methodological work in progress.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Thematically my research focused a lot on sedative hypnotics in both animals and humans. That was the major focus of my work for years and that continues today.  I continue to do work with sedative hypnotic compounds and write abuse liability papers and do abuse liability evaluations for industry.  Some of my grants still deal with abuse liability assessment methodologies.  A lot of that is still in the sedative hypnotic area, which has been a really interesting area to work in because it occurred during the time of the discovery of the benzodiazepine receptor and all the ligands involved at that site.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What precipitated your involvement with WHO in the early 1980s?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WHO was reviewing benzodiazepines for international control and Bob Schuster knew that that was an area of particular expertise for me.  I made several trips to Geneva to do sedative hypnotic abuse liability evaluations.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Why did the benzodiazepines particularly interest you?</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RG:  They were an interesting class of drugs.  There were a whole bunch of novel compounds coming out at the time.  With the discovery of the receptor site, pharmaceutical companies could all of a sudden make variations of Librium and Valium, which were extraordinarily commercially successful compounds.  In the early ‘80s, there were literally thousands of molecules, benzodiazepines, that had been synthesized.  There may have been 40 or so on the market internationally, maybe even more than that.  There was a whole slew of them but they were all pretty much the same -- just relatively small variations of the same molecular structure.  Back in the early ‘80s the receptor site was discovered by Braestrup and Squires and </w:t>
                  </w:r>
                  <w:r w:rsidRPr="004A7868">
                    <w:rPr>
                      <w:rFonts w:ascii="Arial" w:eastAsia="Times New Roman" w:hAnsi="Arial" w:cs="Arial"/>
                      <w:color w:val="000000"/>
                      <w:sz w:val="27"/>
                      <w:szCs w:val="27"/>
                    </w:rPr>
                    <w:lastRenderedPageBreak/>
                    <w:t>Mohler.  That was very important, defining a central site of activity, a single receptor site.  Then a selective antagonist, much like naloxone to the opiate system, was discovered, a drug that could block the effects of benzodiazepines.  We ended up publishing the first animal and human work on precipitated benzodiazepine withdrawal; the baboon study was published in Science with Scott Lukas.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Discovery of the receptor site allowed the drug companies to start drug discovery programs looking for structurally novel ligands, so they’d no longer just have to take the benzodiazepine molecule and change it.  They could then test whether novel compounds would bind the receptor and they could test that in vitro.  If the novel compound had high binding, then they could evaluate that compound in their animal assays.  Totally novel compounds start coming out that modulate that receptor system.  As the receptor system has been defined, the complexity of it became apparent.  There are multiple receptor subtypes, and different subtypes of that receptor confer different kinds of activities.  There’s a lot of interest then in developing selective ligands; and the hope is always to develop an abuse-free ligand.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Over the years our laboratory was intimately involved in assessing abuse potential, both in animals and in humans, of novel ligands of that type.  A number of our publications reflect that.  We developed good assays in animals to look at self-administration, drug discrimination, and physical dependence.  That work continues today.  One of my former postdocs, Nancy Ator, who now is my division director, continues that work and consults for industry and does those kinds of tests.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The human work we were doing is where we adapted and refined the ARC methodologies. They were good methodologies.  The ARC had done their homework.  Martin really laid out the foundation with opiates.  Jasinski did a lot of opiate work and got into sedatives and stimulants.  They were incredibly prolific back in the ‘70s.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What is your evaluation of our procedures for drug abuse liability assessment? Are you currently confident that we have a system in place for doing that effectively?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lastRenderedPageBreak/>
                    <w:t>RG:  There’s a lot more that can be done and refined about those analyses.  I think they’re still pretty crude.  There is good correspondence between those drugs that are self-administered by laboratory animals and those that are abused in people, but there are false positives and false negatives.  Drug discrimination is a very powerful methodology for revealing similarities between different drug classes in animals now, but there’s plenty of room for improvement.  And those methodologies may falter with novel compounds.  When you get a truly novel agent, I think we need to be humble about what we don’t know about the prediction of abuse liability.  With humans, we have methods of liking and reinforcement, but they’re still really quite crude, and, as with the animal work, there are both false positives and negatives.  But it’s important to do the studies.  They give an indication of what kinds of drug legal regulatory controls should be placed on compounds.  But I think we just need to be very humble, that ultimately it’s the introduction of drugs into dynamic society and the availability of those drugs that are going to determine how they’re used and misused.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How do you think about the social context within which drugs are used, and the study of that?  Do you feel that you can, to some extent, get at that with behavioral techniques or does it escape them?  Can we know everything that we need to through behavioral techniques?  Can you describe where the limits are with behavioral experimental analysis.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There are variables that just don’t occur to us as important in terms of prediction of abuse liability and understanding drug abuse.  Initially when we were doing self-administration work, we’d use all male animals.  It just didn’t occur to us that any important variants would reside in the gender.  It seems incredible now and in retrospect, it’s simply naïve.  I think that we’ll look back and say, geez, this was so naïve that we didn’t consider x. . . It could be stress or genetic factors that limit our knowledge to create ideal models.  The human organism is pretty adaptive, and there will be novel uses of drugs that haven’t yet been discovered.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Some of the kinds of alterations of consciousness may be pretty esoteric, and certain kinds of experiential phenomena can be manifest only under appropriate setting conditions.  With the Internet it may be </w:t>
                  </w:r>
                  <w:r w:rsidRPr="004A7868">
                    <w:rPr>
                      <w:rFonts w:ascii="Arial" w:eastAsia="Times New Roman" w:hAnsi="Arial" w:cs="Arial"/>
                      <w:color w:val="000000"/>
                      <w:sz w:val="27"/>
                      <w:szCs w:val="27"/>
                    </w:rPr>
                    <w:lastRenderedPageBreak/>
                    <w:t>possible to develop novel ways to use and misuse compounds that we can’t possibly foresee.  Ultimately, that’s the argument for close epidemiological monitoring.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Could you talk about your experiences working with caffeine and nicotine?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In the course of doing alcohol work, George and I did a study called, “Facilitation of Cigarette Smoking by Alcohol” that was published in JEAB.  This was in the days before the rather rigid and formalistic constraints over initiating new studies.  In the course of some of our alcohol studies, we simply made a cigarette dispenser available.  Actually it was an old monkey pellet dispenser used to dispense little biscuits as reinforcers.  We had a Lindsley lever, just like in the monkey cubicle.  We put cigarettes in the dispenser and let people pull on the levers.  In a lot of our original human research, people pulled on levers to obtain drugs.  Actually my one of my early sedative studies might be a classic --a progressive ratio study  with a Lindsley lever.  Subjects reached a ratio of something like 75,000 for a dose of sedative drug.  People would pull the lever for six hours to get a dose of drug.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In the early study with cigarettes, we just had this dispenser set up to a Lindsley operandum and let people pull ten times and get a cigarette.  Then we looked at alcohol consumption and how that influenced smoking.  We got this really robust effect: when people were drinking, they would smoke consistently more cigarettes than when they weren’t drinking.  We just did a classic behavioral analysis of that, which led to the obvious conclusion -- that cigarette smoking, too, was just another classic form of drug self-administration. I don’t know why it hadn’t occurred to us as such before.  So we began a series of studies with cigarette smoking.  Jack Henningfield came in as our first postdoc in the human laboratory, and so that was the project that we put him on.  He ran with that and made a seminal contribution to and incredible change in the way society views cigarette smoking.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In some of my early studies in cigarette smoking, I made a scientific strategic error in that I got overly involved in characterizing topographical features of cigarette smoking.  I got involved in puff durations and inhalation durations and how those change over the </w:t>
                  </w:r>
                  <w:r w:rsidRPr="004A7868">
                    <w:rPr>
                      <w:rFonts w:ascii="Arial" w:eastAsia="Times New Roman" w:hAnsi="Arial" w:cs="Arial"/>
                      <w:color w:val="000000"/>
                      <w:sz w:val="27"/>
                      <w:szCs w:val="27"/>
                    </w:rPr>
                    <w:lastRenderedPageBreak/>
                    <w:t>course of a cigarette.  They’re orderly changes, but it was getting into minutiae that becomes trivial. That’s the course that I took when I got fascinated by these orderly changes in puff duration and puff volume across the cigarette.  I was sure that this was titration on a puff-by-puff basis.  So I was going after a microanalysis of puff behavior in cigarette smoking.  As it turns out, it’s not controlled by the pharmacology, but I spent years before I concluded it was a dead-end – that it had only limited generality.  Other people have done the same thing in the experimental analysis of behavior, getting into microanalysis of lever pressing and looking really fine interresponse time distributions that didn’t turn out to be an interesting level of analysis.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But I liked my involvement in smoking conceptually, and I liked the idea of studying it as a drug self-administration process.  A problem was that we couldn’t manipulate dose under blind conditions because, as soon as you change dose, people taste it.  As a model of self-administration it seemed constrained to me.  We then applied that same kind of thinking to caffeine.  If you go back to the study with Pickens and Bigelow back in the University of Minnesota Hospital where we let this alcoholic drink alcohol and we got a stable baseline, you would see it was the same thing we did in our early cigarette smoking study.  We let people smoke, got stable baselines, and started manipulating dose.  My early work on caffeine was the same thing.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Caffeine has turned out to be really fun because you can manipulate it and do rigorous, double blind studies.  You can bring in people off the street.  Eighty percent of the world’s population consumes caffeine regularly.  Compared to our work with high doses of sedatives or other classic drugs of abuse, the IRB was much less concerned with caffeine.  Initially, I think, they were simply amused -- it’s just caffeine; it’s just coffee.  But we discovered that people become physically dependent on caffeine – even at low doses.  Actually since we’ve done all our work, my IRB recently called me to task for not informing people about the risks of caffeine withdrawal in a protocol that involved admitting subjects to our residential unit that is caffeine-free.  So now there’s a different sensitivity to caffeine as a drug.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Caffeine provides a really interesting, powerful model system for understanding the nature of the drug dependence process.  In some ways I think of it as far more interesting than something like cocaine or </w:t>
                  </w:r>
                  <w:r w:rsidRPr="004A7868">
                    <w:rPr>
                      <w:rFonts w:ascii="Arial" w:eastAsia="Times New Roman" w:hAnsi="Arial" w:cs="Arial"/>
                      <w:color w:val="000000"/>
                      <w:sz w:val="27"/>
                      <w:szCs w:val="27"/>
                    </w:rPr>
                    <w:lastRenderedPageBreak/>
                    <w:t>morphine precisely because the pharmacology is relatively subtle.  At dietary doses effects of caffeine, compared to abuse doses of cocaine, are very subtle, so there’s much more opportunity to pull apart drug behavior interactions.  That’s led to this whole series of studies that we’ve done on discrimination and withdrawal and reinforcement.  It’s not that it’s a big societal problem, but it’s a really neat model of drug dependence.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It seems to have earned you more notoriety on the Internet.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It’s of more interest to the general public, and it should be.  People are curious about it.  I’m not at all bashful about talking to the press about caffeine, caffeine dependence, and caffeine reinforcement, because I see it as a backhanded way of promoting understanding of pharmacology and behavioral pharmacology.  Everyone’s consuming caffeine, and it’s worthwhile that people start reflecting on that fact.  First of all, I think people should know and understand that caffeine really is a drug, and accord it respect as a drug -- for their own optimal functioning.  Often people come to discover that they themselves are dependent on caffeine, yet they may choose rationally to continue to use caffeine. It seems like it gives people an opportunity to understand or perhaps empathize with the phenomena of drug addiction as well as drug effects more generally.  So I think the topic of caffeine is of more broad interest.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With most other types of studies that I conduct, I could make up a story that would probably be of interest to press.  I could probably sell it.  But I’m not sure that that’s necessarily very useful and the scientific community looks askance at people that promote their science publicly, so I’m hesitant to do that.  But I haven’t been hesitant with caffeine because I think there’s a net positive benefit and health message to get out there.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END 1st SESSION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BEGIN 2d SESSION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RG:  I just wanted to flesh out a bit of the history of behavioral pharmacology from my personal perspective as a graduate student in Minnesota.  My mentor, Travis Thompson, was formidable in the field, and his primary student, who was a force in his own right, was Roy Pickens.  Then there was the Harvard axis, with Peter Dews, Roger </w:t>
                  </w:r>
                  <w:r w:rsidRPr="004A7868">
                    <w:rPr>
                      <w:rFonts w:ascii="Arial" w:eastAsia="Times New Roman" w:hAnsi="Arial" w:cs="Arial"/>
                      <w:color w:val="000000"/>
                      <w:sz w:val="27"/>
                      <w:szCs w:val="27"/>
                    </w:rPr>
                    <w:lastRenderedPageBreak/>
                    <w:t>Kelleher and Bill Morse.  Their students at the time, Don McMillan and Larry Byrd, stand out.  Then of course there was Bob Schuster at Chicago, and one of his students, Bob Balster.  Jim Woods at Michigan was also a student of Schuster.  Both Schuster and Thompson were students of Brady.  These were all people that populated the domain of behavioral pharmacology and informed our sense of standards.  They were role models for us.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At one point you asked, so what has become of behavioral pharmacology as a discipline?  I wanted to back up and say a little bit more about that.  I can define three aspects of this discipline.  One is the use of behavior as a tool to study drugs, to inform us about how drugs work, and using behavior as a dependent variable to tell us something about pharmacology.  In that respect, behavioral pharmacology remains very much alive.  It’s part of pharmaceutical industry development.  If you go into departments of pharmacology, there are people who would say, my primary dependent variables are behavior, and I use them to study drugs.  I’m a pharmacologist and I’m interested in behavior.  So I don’t think that’s been shaken.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The second aspect is the use of drugs as a tool to study behavior, which is perhaps the flipside of the addiction process.  In this case the behavior of interest is the addiction behavior, and it’s a drug behavior interaction.  An example of this aspect would be using drugs to probe self-administration behavior.  If you take the case of cocaine self-administration as a baseline, and you use drugs to study that, that’s part of the whole approach to understanding addictive processes.  But when you recognize that drugs are just a limited set of variables, that’s when you go into all of neuroscience.</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There’s much more to do than manipulate only drugs.  In that sense I have the idea that behavioral pharmacology has just lost its boundaries, and been incorporated hook, line, and sinker into enterprises that may not even recognize where the roots are.  They certainly might not identify with behavioral pharmacology.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Then there’s the third sense, which is the methodological approach of behavioral pharmacology.  One of the things that we were steeped in our training at University of Minnesota is the experimental approach as laid out by B.F. Skinner and Murray Sidman, who wrote a classic book </w:t>
                  </w:r>
                  <w:r w:rsidRPr="004A7868">
                    <w:rPr>
                      <w:rFonts w:ascii="Arial" w:eastAsia="Times New Roman" w:hAnsi="Arial" w:cs="Arial"/>
                      <w:color w:val="000000"/>
                      <w:sz w:val="27"/>
                      <w:szCs w:val="27"/>
                    </w:rPr>
                    <w:lastRenderedPageBreak/>
                    <w:t>called “Tactics of Scientific Research.”  And “Tactics of Scientific Research” played off of B.F. Skinner’s sense that the most interesting way to study behavior was at the level of the single organism, by establishing a stable baseline of behavior, finding a way of measuring that behavior, and then systematically probing in to see how that behavior changes and determining the functional variables that alter that behavior.  That’s really the core of the behavioral pharmacology methods that remains.  We’re looking for stable behavior and then manipulating things.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What’s changed methodologically is that, by and large, the scientific enterprise no longer really accepts within-subject designs.  That may be a mistake, and we may swing back in a pendulum fashion in some years.  Back in the ‘60s you could publish a study with three rats or three pigeons or three monkeys that had been systematically studied, and each animal was their own control, and each animal told a story.  If you could replicate that story across three animals, you could say something substantial and significant.  I still believe that to be the case; however, what has happened is that the methodological zeitgeist now often requires groups of animals.  So in submitting papers to journals or grants for review, there is an expectation that you’re going to present group data and some kind of formal statistical analysis.  In some sad way that constrains the types of questions you ask and the types of inferences you make.  I have some sadness about that.  Intensive within-subject design behavioral research has actually been exterminated in the drug abuse field, at least temporarily.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Can I ask a question about group study design?  Is it that today large N groups are required?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It’s a larger N.  You can run analysis of variance on four or five subjects, so it doesn’t have to be big, big Ns.  The lament for me is that you lose some of the precision of what you’re going after when you start looking at group data, because it’s the anomalous finding that is often the most interesting.  That’s certainly what Skinner and Sidman thought, and what we were taught to look for.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If I started studying human ginseng self-administration today, I would use those same intensive within subject methods, in spite of the fact that some people would want to see group data.  If it were important to </w:t>
                  </w:r>
                  <w:r w:rsidRPr="004A7868">
                    <w:rPr>
                      <w:rFonts w:ascii="Arial" w:eastAsia="Times New Roman" w:hAnsi="Arial" w:cs="Arial"/>
                      <w:color w:val="000000"/>
                      <w:sz w:val="27"/>
                      <w:szCs w:val="27"/>
                    </w:rPr>
                    <w:lastRenderedPageBreak/>
                    <w:t>define it as a new phenomena, I’d still go back to those intensive designs because group data doesn’t tell you what the individual is doing.  It just doesn’t.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When you go back into the history of science, that’s probably true in many disciplines.  It’s really intensely looking at the data coming out on a subject-by-subject basis, seeing something anomalous, and then saying, gee, I wonder why that happened, and maybe we should try to do this.  When you’re using a group design, you’re often locked into certain parameters, and you need to run a statistical analysis to determine an effect -- you’re much less likely to pursue the anomalous finding.  That research strategy has somehow been lost.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Can you offer any explanation for why that would be so?</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People who are trained in conventional statistical procedures and are trained looking at group data often just don’t appreciate the power of the individual subject data.  They don’t fully understand the level of control and the precision of what’s learned from an individual subject analysis.  In some ways it’s just a bias.  They’re accustomed to looking for statistical power.  They know they need 14 subjects, and you’re presenting an N of three.  So the reflex is, three subjects, don’t even tell me about it, you need 14.  They’re missing the orderliness of the data… the replicability of the data.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People who come from other kinds of scientific disciplines might not be as reactive to that.  If you’re looking at a pharmacological assay, for instance you’re looking at a guinea pig ileum assay, which is a muscle preparation, and you’re flushing it with drugs, and you see this contraction, and then you give another drug, and you block that contraction, and you do that in a very orderly way.  The question then becomes how many different guinea pig ileums do you need in order to convince someone?  When you deal with a tissue preparation like that, people aren’t going to say you need 14.  You do it once, and then you do it twice to make sure that it’s replicable, and you may do it three times. When you’re getting into questions of generality, there is a legitimate reason to increase the N -- you want to determine the generalizability of the effect.  There’re certainly some kinds of scientific inferences that can only come forth with larger Ns and looking for </w:t>
                  </w:r>
                  <w:r w:rsidRPr="004A7868">
                    <w:rPr>
                      <w:rFonts w:ascii="Arial" w:eastAsia="Times New Roman" w:hAnsi="Arial" w:cs="Arial"/>
                      <w:color w:val="000000"/>
                      <w:sz w:val="27"/>
                      <w:szCs w:val="27"/>
                    </w:rPr>
                    <w:lastRenderedPageBreak/>
                    <w:t>individual differences.  But there’s an awful lot of power in focusing in on the individual subject.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Could I ask you to clarify the relationship between Skinnerians in relation to Pavlovians?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Skinner laid out principles of operant conditioning.  Operant conditioning is about behavior being maintained by its consequences.  If a behavior is followed by a reinforcing stimulus, the probability of that behavior increases.  That has a lot to do with most forms of emitted behaviors.  Skinner was well acquainted with respondent conditioning, which is Pavlovian conditioning.  Respondent conditioning is integral to understanding behavior, and Skinner didn’t downplay the importance of it but he chose to focus on operant behavior, which really hadn’t been appreciated as such a systematic studiable domain previously.  Pavlov used dogs, to study the effects of food powder presentation on salivation -- all of which has to do with respondent conditioning.</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As behavioral pharmacology developed, the principles of operant and respondent conditioning became interwoven, so there is no controversy.  There are certain effects that are respondently conditioned, and those can feed back on operant behavior.  Chuck O’Brien, who I don’t think would have ever identified himself as a behavioral pharmacologist, was interested in these classical conditioning features, and he conducted a systematic body of work looking at how these might provoke relapse because you get conditioned effects that then serve as a stimulus for relapse.  If you put it in the operant language, and I think he would do this, the respondently conditioned effects now serve as discriminative stimulus changing the probability with which an operant response is going to be emitted and then reinforced.  It all comes together very nicely.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Is it the language that is different?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It’s really the focus of the language.  When you learn experimental analysis of behavior and behavioral pharmacology, you’re taught operant and respondent conditioning.  You need to know those to understand behavior.  But there was much more emphasis on the operant than the respondent.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lastRenderedPageBreak/>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So it’s a difference of emphasis. Was the work Abe Wikler was doing primarily respondent conditioning because the operant conditioning language hadn’t reached him yet?</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Yes.  What Skinner did was put a lever in a box and make food contingent on pressing it.  All of a sudden a rat in a box, which formerly had been just running around, sniffing and eating sometimes, now became this very orderly assay that enabled you to describe that behavior really precisely.  As you set up conditions to control the environment, the apparent spontaneity and variability of behavior disappeared.  All of a sudden you had a very clean assay -- if you just looked at an animal responding.  Part of Skinner’s brilliance was seeing that it wasn’t just lever pressing, it actually applied to all forms of behavior.</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Part of my graduate training with Thompson, and George Bigelow’s training as well, was that we did behavior modification with the mentally retarded in one of the hospitals in Faribault, Minnesota.  Under the mentorship of Travis Thompson, George and I developed behavior modification programs on a residential ward for severely and profoundly retarded adults.  We actually ended up publishing something on that together – that may be our first publication.  Our approach was that of the experimental analysis of behavior.  Here were these grossly deteriorated institutions with profoundly and severely retarded people just being housed under what would have to be described as inhumane conditions.  There was no sense that you could do anything meaningful for them.  They were cleaned up and then they sat in these bare dayrooms and rocked back and forth or were put in restraining rooms when they misbehaved.</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xml:space="preserve">This whole technology of behavioral control (this is the power of the experimental analysis of behavior) says, wait a second, these people don’t have to sit there, let’s teach them something.  We have the technology for teaching them something.  It’s just a matter of arranging appropriate behavioral contingencies.  Take a look at what contingencies exist in this situation, and no wonder they run around hitting each other. The only time that anyone gets any attention from the staff is if they soil themselves or if they become aggressive.  Then </w:t>
                  </w:r>
                  <w:r w:rsidRPr="004A7868">
                    <w:rPr>
                      <w:rFonts w:ascii="Arial" w:eastAsia="Times New Roman" w:hAnsi="Arial" w:cs="Arial"/>
                      <w:color w:val="000000"/>
                      <w:sz w:val="27"/>
                      <w:szCs w:val="27"/>
                    </w:rPr>
                    <w:lastRenderedPageBreak/>
                    <w:t>the staff come over and start interacting with them.  From a behavioral paradigm, it was just backwards.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This was part of the excitement of the experimental analysis of behavior that both George and I felt working in the hospital for the mentally retarded.  When it came to working with an alcoholic and trying to analysize alcoholism, the principles were really clear.  We wanted to first establish a stable baseline of performance – this comes out of rats pushing levers.  We wanted to see the behavior, we wanted to stabilize it, and then we wanted to go in and see what variables perturbed that.  How do you suppress that behavior?  How do you get someone to quit drinking?  So it followed very naturally.</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It also followed very naturally that we felt that we could generalize our training from animals to humans.  It was with no hesitation that George went off to Baltimore City Hospital, and I followed him shortly.  We thought we were going to do behavioral pharmacology, but in this case it would be addiction pharmacology, with humans.  We were just generalizing our knowledge from animal behavioral pharmacology and from behavior modification.</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b/>
                      <w:bCs/>
                      <w:color w:val="000000"/>
                      <w:sz w:val="27"/>
                      <w:szCs w:val="27"/>
                    </w:rPr>
                    <w:t>NC: Can you give me a sense of what you would identify as your main conceptual and methodological contributions?</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 </w:t>
                  </w:r>
                </w:p>
                <w:p w:rsidR="004A7868" w:rsidRPr="004A7868" w:rsidRDefault="004A7868" w:rsidP="004A7868">
                  <w:pPr>
                    <w:spacing w:after="0" w:line="240" w:lineRule="auto"/>
                    <w:rPr>
                      <w:rFonts w:ascii="Arial" w:eastAsia="Times New Roman" w:hAnsi="Arial" w:cs="Arial"/>
                      <w:color w:val="000000"/>
                      <w:sz w:val="18"/>
                      <w:szCs w:val="18"/>
                    </w:rPr>
                  </w:pPr>
                  <w:r w:rsidRPr="004A7868">
                    <w:rPr>
                      <w:rFonts w:ascii="Arial" w:eastAsia="Times New Roman" w:hAnsi="Arial" w:cs="Arial"/>
                      <w:color w:val="000000"/>
                      <w:sz w:val="27"/>
                      <w:szCs w:val="27"/>
                    </w:rPr>
                    <w:t>RG:  One of the interesting and sad things, given that I’ve split my time between animal and human behavioral pharmacology, is that I’ve ended up thinking that my main unique contributions came from the human work and not the animal laboratory.  That’s because in animal research I was participating in an established community.  The kinds of contributions I made in the animal field were being made simultaneously at other places.  So I can’t say that I uniquely impacted the field this way. I was part of what was going on, I participated, and my work gets cited for that.  But I can’t claim that, had I not been there, that it would have been somehow substantially different.</w:t>
                  </w:r>
                </w:p>
              </w:tc>
            </w:tr>
          </w:tbl>
          <w:p w:rsidR="004A7868" w:rsidRPr="004A7868" w:rsidRDefault="004A7868" w:rsidP="004A7868">
            <w:pPr>
              <w:spacing w:after="0" w:line="240" w:lineRule="auto"/>
              <w:rPr>
                <w:rFonts w:ascii="Arial" w:eastAsia="Times New Roman" w:hAnsi="Arial" w:cs="Arial"/>
                <w:color w:val="000000"/>
                <w:sz w:val="18"/>
                <w:szCs w:val="18"/>
              </w:rPr>
            </w:pPr>
          </w:p>
        </w:tc>
      </w:tr>
    </w:tbl>
    <w:p w:rsidR="004A7868" w:rsidRDefault="004A7868">
      <w:bookmarkStart w:id="0" w:name="_GoBack"/>
      <w:bookmarkEnd w:id="0"/>
    </w:p>
    <w:sectPr w:rsidR="004A78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868"/>
    <w:rsid w:val="004A7868"/>
    <w:rsid w:val="00620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03184"/>
  <w15:chartTrackingRefBased/>
  <w15:docId w15:val="{5C70EBB5-9745-4348-9051-292D1D1DD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7868"/>
    <w:rPr>
      <w:color w:val="0000FF"/>
      <w:u w:val="single"/>
    </w:rPr>
  </w:style>
  <w:style w:type="character" w:customStyle="1" w:styleId="dataaccessalternatetext">
    <w:name w:val="dataaccessalternatetext"/>
    <w:basedOn w:val="DefaultParagraphFont"/>
    <w:rsid w:val="004A7868"/>
  </w:style>
  <w:style w:type="paragraph" w:styleId="NormalWeb">
    <w:name w:val="Normal (Web)"/>
    <w:basedOn w:val="Normal"/>
    <w:uiPriority w:val="99"/>
    <w:semiHidden/>
    <w:unhideWhenUsed/>
    <w:rsid w:val="004A786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78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13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thcleo\AppData\Local\Box\Box%20Edit\Documents\_GwsTQlRT0KeNTZIMNWfdg==\oral_history_interviews%26mode%3dsingle%26recordID%3d000000000000000000000000000000000000000002252707.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kathcleo\AppData\Local\Box\Box%20Edit\Documents\_GwsTQlRT0KeNTZIMNWfdg==\oral_history_interviews%26findAll%3dtrue%26mode%3dsingle%26recordID%3d000000000000000000000000000000000000000002154551.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athcleo\AppData\Local\Box\Box%20Edit\Documents\_GwsTQlRT0KeNTZIMNWfdg==\oral_history_interviews%26mode%3dsearch%26recordID%3d000000000000000000000000000000000000000002154551.html" TargetMode="External"/><Relationship Id="rId11" Type="http://schemas.openxmlformats.org/officeDocument/2006/relationships/hyperlink" Target="file:///C:\Users\kathcleo\AppData\Local\Box\Box%20Edit\Documents\_GwsTQlRT0KeNTZIMNWfdg==\oral_history_interviews%26mode%3dsingle%26recordID%3d000000000000000000000000000000000000000002800535.html" TargetMode="External"/><Relationship Id="rId5" Type="http://schemas.openxmlformats.org/officeDocument/2006/relationships/hyperlink" Target="file:///C:\Users\kathcleo\AppData\Local\Box\Box%20Edit\Documents\_GwsTQlRT0KeNTZIMNWfdg==\oral_history_interviews%26mode%3dlist%26recordID%3d000000000000000000000000000000000000000002154551.html" TargetMode="External"/><Relationship Id="rId10" Type="http://schemas.openxmlformats.org/officeDocument/2006/relationships/hyperlink" Target="file:///C:\Users\kathcleo\AppData\Local\Box\Box%20Edit\Documents\_GwsTQlRT0KeNTZIMNWfdg==\oral_history_interviews%26mode%3dsingle%26recordID%3d000000000000000000000000000000000000000002969101.html" TargetMode="External"/><Relationship Id="rId4" Type="http://schemas.openxmlformats.org/officeDocument/2006/relationships/hyperlink" Target="file:///C:\Users\kathcleo\AppData\Local\Box\Box%20Edit\Documents\_GwsTQlRT0KeNTZIMNWfdg==\oral_history_interviews_mode_single_recordID_000000000000000000000000000000000000000002154551_nextMode_list.html" TargetMode="External"/><Relationship Id="rId9" Type="http://schemas.openxmlformats.org/officeDocument/2006/relationships/hyperlink" Target="file:///C:\Users\kathcleo\AppData\Local\Box\Box%20Edit\Documents\_GwsTQlRT0KeNTZIMNWfdg==\oral_history_interviews%26mode%3dsingle%26recordID%3d00000000000000000000000000000000000000000248723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8425</Words>
  <Characters>48025</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University of Michigan</Company>
  <LinksUpToDate>false</LinksUpToDate>
  <CharactersWithSpaces>56338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Leary, Katherine</dc:creator>
  <cp:keywords/>
  <dc:description/>
  <cp:lastModifiedBy>Leary, Katherine</cp:lastModifiedBy>
  <cp:revision>1</cp:revision>
  <dcterms:created xsi:type="dcterms:W3CDTF">2019-10-25T15:39:00Z</dcterms:created>
  <dcterms:modified xsi:type="dcterms:W3CDTF">2019-10-25T15:40:00Z</dcterms:modified>
</cp:coreProperties>
</file>