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F15" w:rsidRDefault="001B787D">
      <w:hyperlink r:id="rId4" w:history="1">
        <w:r>
          <w:rPr>
            <w:rStyle w:val="Hyperlink"/>
          </w:rPr>
          <w:t>file:///C:/Users/kathcleo/AppData/Local/Box/Box%20Edit/Documents/C2MKOWCpNEa1p+f8ZkFFEg==/oral_history_interviews_findAll_true_mode_single_recordID_000000000000000000000000000000000000000002542076.html</w:t>
        </w:r>
      </w:hyperlink>
    </w:p>
    <w:tbl>
      <w:tblPr>
        <w:tblW w:w="4750" w:type="pct"/>
        <w:jc w:val="center"/>
        <w:tblCellSpacing w:w="0" w:type="dxa"/>
        <w:shd w:val="clear" w:color="auto" w:fill="FFFFFF"/>
        <w:tblCellMar>
          <w:left w:w="0" w:type="dxa"/>
          <w:right w:w="0" w:type="dxa"/>
        </w:tblCellMar>
        <w:tblLook w:val="04A0" w:firstRow="1" w:lastRow="0" w:firstColumn="1" w:lastColumn="0" w:noHBand="0" w:noVBand="1"/>
      </w:tblPr>
      <w:tblGrid>
        <w:gridCol w:w="4532"/>
        <w:gridCol w:w="4360"/>
      </w:tblGrid>
      <w:tr w:rsidR="001B787D" w:rsidRPr="001B787D" w:rsidTr="001B787D">
        <w:trPr>
          <w:tblCellSpacing w:w="0" w:type="dxa"/>
          <w:jc w:val="center"/>
        </w:trPr>
        <w:tc>
          <w:tcPr>
            <w:tcW w:w="0" w:type="auto"/>
            <w:gridSpan w:val="2"/>
            <w:shd w:val="clear" w:color="auto" w:fill="FFFFFF"/>
            <w:vAlign w:val="center"/>
            <w:hideMark/>
          </w:tcPr>
          <w:p w:rsidR="001B787D" w:rsidRPr="001B787D" w:rsidRDefault="001B787D" w:rsidP="001B787D">
            <w:pPr>
              <w:spacing w:after="0" w:line="240" w:lineRule="auto"/>
              <w:rPr>
                <w:rFonts w:ascii="Arial" w:eastAsia="Times New Roman" w:hAnsi="Arial" w:cs="Arial"/>
                <w:b/>
                <w:bCs/>
                <w:color w:val="000000"/>
                <w:sz w:val="18"/>
                <w:szCs w:val="18"/>
              </w:rPr>
            </w:pPr>
            <w:r w:rsidRPr="001B787D">
              <w:rPr>
                <w:rFonts w:ascii="Arial" w:eastAsia="Times New Roman" w:hAnsi="Arial" w:cs="Arial"/>
                <w:b/>
                <w:bCs/>
                <w:color w:val="000000"/>
                <w:sz w:val="18"/>
                <w:szCs w:val="18"/>
              </w:rPr>
              <w:t>Current record is </w:t>
            </w:r>
            <w:r w:rsidRPr="001B787D">
              <w:rPr>
                <w:rFonts w:ascii="Arial" w:eastAsia="Times New Roman" w:hAnsi="Arial" w:cs="Arial"/>
                <w:b/>
                <w:bCs/>
                <w:color w:val="666666"/>
                <w:sz w:val="18"/>
                <w:szCs w:val="18"/>
              </w:rPr>
              <w:t>#31</w:t>
            </w:r>
            <w:r w:rsidRPr="001B787D">
              <w:rPr>
                <w:rFonts w:ascii="Arial" w:eastAsia="Times New Roman" w:hAnsi="Arial" w:cs="Arial"/>
                <w:b/>
                <w:bCs/>
                <w:color w:val="000000"/>
                <w:sz w:val="18"/>
                <w:szCs w:val="18"/>
              </w:rPr>
              <w:t> out of </w:t>
            </w:r>
            <w:r w:rsidRPr="001B787D">
              <w:rPr>
                <w:rFonts w:ascii="Arial" w:eastAsia="Times New Roman" w:hAnsi="Arial" w:cs="Arial"/>
                <w:b/>
                <w:bCs/>
                <w:color w:val="666666"/>
                <w:sz w:val="18"/>
                <w:szCs w:val="18"/>
              </w:rPr>
              <w:t>45</w:t>
            </w:r>
            <w:r w:rsidRPr="001B787D">
              <w:rPr>
                <w:rFonts w:ascii="Arial" w:eastAsia="Times New Roman" w:hAnsi="Arial" w:cs="Arial"/>
                <w:b/>
                <w:bCs/>
                <w:color w:val="000000"/>
                <w:sz w:val="18"/>
                <w:szCs w:val="18"/>
              </w:rPr>
              <w:t> in found set (</w:t>
            </w:r>
            <w:r w:rsidRPr="001B787D">
              <w:rPr>
                <w:rFonts w:ascii="Arial" w:eastAsia="Times New Roman" w:hAnsi="Arial" w:cs="Arial"/>
                <w:b/>
                <w:bCs/>
                <w:color w:val="666666"/>
                <w:sz w:val="18"/>
                <w:szCs w:val="18"/>
              </w:rPr>
              <w:t>45</w:t>
            </w:r>
            <w:r w:rsidRPr="001B787D">
              <w:rPr>
                <w:rFonts w:ascii="Arial" w:eastAsia="Times New Roman" w:hAnsi="Arial" w:cs="Arial"/>
                <w:b/>
                <w:bCs/>
                <w:color w:val="000000"/>
                <w:sz w:val="18"/>
                <w:szCs w:val="18"/>
              </w:rPr>
              <w:t> total records in table)</w:t>
            </w:r>
          </w:p>
        </w:tc>
      </w:tr>
      <w:tr w:rsidR="001B787D" w:rsidRPr="001B787D" w:rsidTr="001B787D">
        <w:trPr>
          <w:tblCellSpacing w:w="0" w:type="dxa"/>
          <w:jc w:val="center"/>
        </w:trPr>
        <w:tc>
          <w:tcPr>
            <w:tcW w:w="0" w:type="auto"/>
            <w:shd w:val="clear" w:color="auto" w:fill="FFFFFF"/>
            <w:vAlign w:val="center"/>
            <w:hideMark/>
          </w:tcPr>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781"/>
              <w:gridCol w:w="161"/>
              <w:gridCol w:w="631"/>
              <w:gridCol w:w="161"/>
              <w:gridCol w:w="661"/>
            </w:tblGrid>
            <w:tr w:rsidR="001B787D" w:rsidRPr="001B787D">
              <w:trPr>
                <w:tblCellSpacing w:w="0" w:type="dxa"/>
              </w:trPr>
              <w:tc>
                <w:tcPr>
                  <w:tcW w:w="0" w:type="auto"/>
                  <w:vAlign w:val="center"/>
                  <w:hideMark/>
                </w:tcPr>
                <w:p w:rsidR="001B787D" w:rsidRPr="001B787D" w:rsidRDefault="001B787D" w:rsidP="001B787D">
                  <w:pPr>
                    <w:spacing w:after="0" w:line="240" w:lineRule="auto"/>
                    <w:jc w:val="center"/>
                    <w:rPr>
                      <w:rFonts w:ascii="Arial" w:eastAsia="Times New Roman" w:hAnsi="Arial" w:cs="Arial"/>
                      <w:color w:val="000000"/>
                      <w:sz w:val="18"/>
                      <w:szCs w:val="18"/>
                    </w:rPr>
                  </w:pPr>
                  <w:hyperlink r:id="rId5" w:history="1">
                    <w:r w:rsidRPr="001B787D">
                      <w:rPr>
                        <w:rFonts w:ascii="Arial" w:eastAsia="Times New Roman" w:hAnsi="Arial" w:cs="Arial"/>
                        <w:color w:val="616163"/>
                        <w:sz w:val="18"/>
                        <w:szCs w:val="18"/>
                        <w:u w:val="single"/>
                      </w:rPr>
                      <w:t>List View</w:t>
                    </w:r>
                  </w:hyperlink>
                </w:p>
              </w:tc>
              <w:tc>
                <w:tcPr>
                  <w:tcW w:w="0" w:type="auto"/>
                  <w:vAlign w:val="center"/>
                  <w:hideMark/>
                </w:tcPr>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18"/>
                      <w:szCs w:val="18"/>
                    </w:rPr>
                    <w:t>  </w:t>
                  </w:r>
                </w:p>
              </w:tc>
              <w:tc>
                <w:tcPr>
                  <w:tcW w:w="0" w:type="auto"/>
                  <w:vAlign w:val="center"/>
                  <w:hideMark/>
                </w:tcPr>
                <w:p w:rsidR="001B787D" w:rsidRPr="001B787D" w:rsidRDefault="001B787D" w:rsidP="001B787D">
                  <w:pPr>
                    <w:spacing w:after="0" w:line="240" w:lineRule="auto"/>
                    <w:jc w:val="center"/>
                    <w:rPr>
                      <w:rFonts w:ascii="Arial" w:eastAsia="Times New Roman" w:hAnsi="Arial" w:cs="Arial"/>
                      <w:color w:val="000000"/>
                      <w:sz w:val="18"/>
                      <w:szCs w:val="18"/>
                    </w:rPr>
                  </w:pPr>
                  <w:hyperlink r:id="rId6" w:history="1">
                    <w:r w:rsidRPr="001B787D">
                      <w:rPr>
                        <w:rFonts w:ascii="Arial" w:eastAsia="Times New Roman" w:hAnsi="Arial" w:cs="Arial"/>
                        <w:color w:val="616163"/>
                        <w:sz w:val="18"/>
                        <w:szCs w:val="18"/>
                        <w:u w:val="single"/>
                      </w:rPr>
                      <w:t>Search</w:t>
                    </w:r>
                  </w:hyperlink>
                </w:p>
              </w:tc>
              <w:tc>
                <w:tcPr>
                  <w:tcW w:w="0" w:type="auto"/>
                  <w:vAlign w:val="center"/>
                  <w:hideMark/>
                </w:tcPr>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18"/>
                      <w:szCs w:val="18"/>
                    </w:rPr>
                    <w:t>  </w:t>
                  </w:r>
                </w:p>
              </w:tc>
              <w:tc>
                <w:tcPr>
                  <w:tcW w:w="0" w:type="auto"/>
                  <w:vAlign w:val="center"/>
                  <w:hideMark/>
                </w:tcPr>
                <w:p w:rsidR="001B787D" w:rsidRPr="001B787D" w:rsidRDefault="001B787D" w:rsidP="001B787D">
                  <w:pPr>
                    <w:spacing w:after="0" w:line="240" w:lineRule="auto"/>
                    <w:jc w:val="center"/>
                    <w:rPr>
                      <w:rFonts w:ascii="Arial" w:eastAsia="Times New Roman" w:hAnsi="Arial" w:cs="Arial"/>
                      <w:color w:val="000000"/>
                      <w:sz w:val="18"/>
                      <w:szCs w:val="18"/>
                    </w:rPr>
                  </w:pPr>
                  <w:hyperlink r:id="rId7" w:history="1">
                    <w:r w:rsidRPr="001B787D">
                      <w:rPr>
                        <w:rFonts w:ascii="Arial" w:eastAsia="Times New Roman" w:hAnsi="Arial" w:cs="Arial"/>
                        <w:color w:val="616163"/>
                        <w:sz w:val="18"/>
                        <w:szCs w:val="18"/>
                        <w:u w:val="single"/>
                      </w:rPr>
                      <w:t>Find All</w:t>
                    </w:r>
                  </w:hyperlink>
                </w:p>
              </w:tc>
            </w:tr>
          </w:tbl>
          <w:p w:rsidR="001B787D" w:rsidRPr="001B787D" w:rsidRDefault="001B787D" w:rsidP="001B787D">
            <w:pPr>
              <w:spacing w:after="0" w:line="240" w:lineRule="auto"/>
              <w:rPr>
                <w:rFonts w:ascii="Arial" w:eastAsia="Times New Roman" w:hAnsi="Arial" w:cs="Arial"/>
                <w:color w:val="000000"/>
                <w:sz w:val="18"/>
                <w:szCs w:val="18"/>
              </w:rPr>
            </w:pPr>
          </w:p>
        </w:tc>
        <w:tc>
          <w:tcPr>
            <w:tcW w:w="0" w:type="auto"/>
            <w:shd w:val="clear" w:color="auto" w:fill="FFFFFF"/>
            <w:vAlign w:val="center"/>
            <w:hideMark/>
          </w:tcPr>
          <w:tbl>
            <w:tblPr>
              <w:tblW w:w="0" w:type="auto"/>
              <w:jc w:val="right"/>
              <w:tblCellSpacing w:w="0" w:type="dxa"/>
              <w:tblCellMar>
                <w:top w:w="30" w:type="dxa"/>
                <w:left w:w="30" w:type="dxa"/>
                <w:bottom w:w="30" w:type="dxa"/>
                <w:right w:w="30" w:type="dxa"/>
              </w:tblCellMar>
              <w:tblLook w:val="04A0" w:firstRow="1" w:lastRow="0" w:firstColumn="1" w:lastColumn="0" w:noHBand="0" w:noVBand="1"/>
            </w:tblPr>
            <w:tblGrid>
              <w:gridCol w:w="621"/>
              <w:gridCol w:w="536"/>
              <w:gridCol w:w="536"/>
              <w:gridCol w:w="611"/>
            </w:tblGrid>
            <w:tr w:rsidR="001B787D" w:rsidRPr="001B787D">
              <w:trPr>
                <w:tblCellSpacing w:w="0" w:type="dxa"/>
                <w:jc w:val="right"/>
              </w:trPr>
              <w:tc>
                <w:tcPr>
                  <w:tcW w:w="0" w:type="auto"/>
                  <w:vAlign w:val="center"/>
                  <w:hideMark/>
                </w:tcPr>
                <w:p w:rsidR="001B787D" w:rsidRPr="001B787D" w:rsidRDefault="001B787D" w:rsidP="001B787D">
                  <w:pPr>
                    <w:spacing w:after="0" w:line="240" w:lineRule="auto"/>
                    <w:jc w:val="center"/>
                    <w:rPr>
                      <w:rFonts w:ascii="Arial" w:eastAsia="Times New Roman" w:hAnsi="Arial" w:cs="Arial"/>
                      <w:color w:val="000000"/>
                      <w:sz w:val="18"/>
                      <w:szCs w:val="18"/>
                    </w:rPr>
                  </w:pPr>
                  <w:hyperlink r:id="rId8" w:history="1">
                    <w:r w:rsidRPr="001B787D">
                      <w:rPr>
                        <w:rFonts w:ascii="Arial" w:eastAsia="Times New Roman" w:hAnsi="Arial" w:cs="Arial"/>
                        <w:color w:val="616163"/>
                        <w:sz w:val="18"/>
                        <w:szCs w:val="18"/>
                        <w:u w:val="single"/>
                      </w:rPr>
                      <w:t>&lt;&lt;First</w:t>
                    </w:r>
                  </w:hyperlink>
                </w:p>
              </w:tc>
              <w:tc>
                <w:tcPr>
                  <w:tcW w:w="0" w:type="auto"/>
                  <w:vAlign w:val="center"/>
                  <w:hideMark/>
                </w:tcPr>
                <w:p w:rsidR="001B787D" w:rsidRPr="001B787D" w:rsidRDefault="001B787D" w:rsidP="001B787D">
                  <w:pPr>
                    <w:spacing w:after="0" w:line="240" w:lineRule="auto"/>
                    <w:jc w:val="center"/>
                    <w:rPr>
                      <w:rFonts w:ascii="Arial" w:eastAsia="Times New Roman" w:hAnsi="Arial" w:cs="Arial"/>
                      <w:color w:val="000000"/>
                      <w:sz w:val="18"/>
                      <w:szCs w:val="18"/>
                    </w:rPr>
                  </w:pPr>
                  <w:hyperlink r:id="rId9" w:history="1">
                    <w:r w:rsidRPr="001B787D">
                      <w:rPr>
                        <w:rFonts w:ascii="Arial" w:eastAsia="Times New Roman" w:hAnsi="Arial" w:cs="Arial"/>
                        <w:color w:val="616163"/>
                        <w:sz w:val="18"/>
                        <w:szCs w:val="18"/>
                        <w:u w:val="single"/>
                      </w:rPr>
                      <w:t>&lt;Prev</w:t>
                    </w:r>
                  </w:hyperlink>
                </w:p>
              </w:tc>
              <w:tc>
                <w:tcPr>
                  <w:tcW w:w="0" w:type="auto"/>
                  <w:vAlign w:val="center"/>
                  <w:hideMark/>
                </w:tcPr>
                <w:p w:rsidR="001B787D" w:rsidRPr="001B787D" w:rsidRDefault="001B787D" w:rsidP="001B787D">
                  <w:pPr>
                    <w:spacing w:after="0" w:line="240" w:lineRule="auto"/>
                    <w:jc w:val="center"/>
                    <w:rPr>
                      <w:rFonts w:ascii="Arial" w:eastAsia="Times New Roman" w:hAnsi="Arial" w:cs="Arial"/>
                      <w:color w:val="000000"/>
                      <w:sz w:val="18"/>
                      <w:szCs w:val="18"/>
                    </w:rPr>
                  </w:pPr>
                  <w:hyperlink r:id="rId10" w:history="1">
                    <w:r w:rsidRPr="001B787D">
                      <w:rPr>
                        <w:rFonts w:ascii="Arial" w:eastAsia="Times New Roman" w:hAnsi="Arial" w:cs="Arial"/>
                        <w:color w:val="616163"/>
                        <w:sz w:val="18"/>
                        <w:szCs w:val="18"/>
                        <w:u w:val="single"/>
                      </w:rPr>
                      <w:t>Next&gt;</w:t>
                    </w:r>
                  </w:hyperlink>
                </w:p>
              </w:tc>
              <w:tc>
                <w:tcPr>
                  <w:tcW w:w="0" w:type="auto"/>
                  <w:vAlign w:val="center"/>
                  <w:hideMark/>
                </w:tcPr>
                <w:p w:rsidR="001B787D" w:rsidRPr="001B787D" w:rsidRDefault="001B787D" w:rsidP="001B787D">
                  <w:pPr>
                    <w:spacing w:after="0" w:line="240" w:lineRule="auto"/>
                    <w:jc w:val="center"/>
                    <w:rPr>
                      <w:rFonts w:ascii="Arial" w:eastAsia="Times New Roman" w:hAnsi="Arial" w:cs="Arial"/>
                      <w:color w:val="000000"/>
                      <w:sz w:val="18"/>
                      <w:szCs w:val="18"/>
                    </w:rPr>
                  </w:pPr>
                  <w:hyperlink r:id="rId11" w:history="1">
                    <w:r w:rsidRPr="001B787D">
                      <w:rPr>
                        <w:rFonts w:ascii="Arial" w:eastAsia="Times New Roman" w:hAnsi="Arial" w:cs="Arial"/>
                        <w:color w:val="616163"/>
                        <w:sz w:val="18"/>
                        <w:szCs w:val="18"/>
                        <w:u w:val="single"/>
                      </w:rPr>
                      <w:t>Last&gt;&gt;</w:t>
                    </w:r>
                  </w:hyperlink>
                </w:p>
              </w:tc>
            </w:tr>
            <w:tr w:rsidR="001B787D" w:rsidRPr="001B787D">
              <w:trPr>
                <w:tblCellSpacing w:w="0" w:type="dxa"/>
                <w:jc w:val="right"/>
              </w:trPr>
              <w:tc>
                <w:tcPr>
                  <w:tcW w:w="0" w:type="auto"/>
                  <w:vAlign w:val="center"/>
                  <w:hideMark/>
                </w:tcPr>
                <w:p w:rsidR="001B787D" w:rsidRPr="001B787D" w:rsidRDefault="001B787D" w:rsidP="001B787D">
                  <w:pPr>
                    <w:spacing w:after="0" w:line="240" w:lineRule="auto"/>
                    <w:jc w:val="center"/>
                    <w:rPr>
                      <w:rFonts w:ascii="Arial" w:eastAsia="Times New Roman" w:hAnsi="Arial" w:cs="Arial"/>
                      <w:color w:val="000000"/>
                      <w:sz w:val="18"/>
                      <w:szCs w:val="18"/>
                    </w:rPr>
                  </w:pPr>
                </w:p>
              </w:tc>
              <w:tc>
                <w:tcPr>
                  <w:tcW w:w="0" w:type="auto"/>
                  <w:vAlign w:val="center"/>
                  <w:hideMark/>
                </w:tcPr>
                <w:p w:rsidR="001B787D" w:rsidRPr="001B787D" w:rsidRDefault="001B787D" w:rsidP="001B787D">
                  <w:pPr>
                    <w:spacing w:after="0" w:line="240" w:lineRule="auto"/>
                    <w:rPr>
                      <w:rFonts w:ascii="Times New Roman" w:eastAsia="Times New Roman" w:hAnsi="Times New Roman" w:cs="Times New Roman"/>
                      <w:sz w:val="20"/>
                      <w:szCs w:val="20"/>
                    </w:rPr>
                  </w:pPr>
                </w:p>
              </w:tc>
              <w:tc>
                <w:tcPr>
                  <w:tcW w:w="0" w:type="auto"/>
                  <w:vAlign w:val="center"/>
                  <w:hideMark/>
                </w:tcPr>
                <w:p w:rsidR="001B787D" w:rsidRPr="001B787D" w:rsidRDefault="001B787D" w:rsidP="001B787D">
                  <w:pPr>
                    <w:spacing w:after="0" w:line="240" w:lineRule="auto"/>
                    <w:rPr>
                      <w:rFonts w:ascii="Times New Roman" w:eastAsia="Times New Roman" w:hAnsi="Times New Roman" w:cs="Times New Roman"/>
                      <w:sz w:val="20"/>
                      <w:szCs w:val="20"/>
                    </w:rPr>
                  </w:pPr>
                </w:p>
              </w:tc>
              <w:tc>
                <w:tcPr>
                  <w:tcW w:w="0" w:type="auto"/>
                  <w:vAlign w:val="center"/>
                  <w:hideMark/>
                </w:tcPr>
                <w:p w:rsidR="001B787D" w:rsidRPr="001B787D" w:rsidRDefault="001B787D" w:rsidP="001B787D">
                  <w:pPr>
                    <w:spacing w:after="0" w:line="240" w:lineRule="auto"/>
                    <w:rPr>
                      <w:rFonts w:ascii="Times New Roman" w:eastAsia="Times New Roman" w:hAnsi="Times New Roman" w:cs="Times New Roman"/>
                      <w:sz w:val="20"/>
                      <w:szCs w:val="20"/>
                    </w:rPr>
                  </w:pPr>
                </w:p>
              </w:tc>
            </w:tr>
          </w:tbl>
          <w:p w:rsidR="001B787D" w:rsidRPr="001B787D" w:rsidRDefault="001B787D" w:rsidP="001B787D">
            <w:pPr>
              <w:spacing w:after="0" w:line="240" w:lineRule="auto"/>
              <w:jc w:val="right"/>
              <w:rPr>
                <w:rFonts w:ascii="Arial" w:eastAsia="Times New Roman" w:hAnsi="Arial" w:cs="Arial"/>
                <w:color w:val="000000"/>
                <w:sz w:val="18"/>
                <w:szCs w:val="18"/>
              </w:rPr>
            </w:pPr>
          </w:p>
        </w:tc>
      </w:tr>
    </w:tbl>
    <w:p w:rsidR="001B787D" w:rsidRPr="001B787D" w:rsidRDefault="001B787D" w:rsidP="001B787D">
      <w:pPr>
        <w:shd w:val="clear" w:color="auto" w:fill="FFFFFF"/>
        <w:spacing w:after="0" w:line="240" w:lineRule="auto"/>
        <w:jc w:val="center"/>
        <w:rPr>
          <w:rFonts w:ascii="Arial" w:eastAsia="Times New Roman" w:hAnsi="Arial" w:cs="Arial"/>
          <w:color w:val="000000"/>
          <w:sz w:val="18"/>
          <w:szCs w:val="18"/>
        </w:rPr>
      </w:pPr>
      <w:r w:rsidRPr="001B787D">
        <w:rPr>
          <w:rFonts w:ascii="Arial" w:eastAsia="Times New Roman" w:hAnsi="Arial" w:cs="Arial"/>
          <w:color w:val="000000"/>
          <w:sz w:val="18"/>
          <w:szCs w:val="18"/>
        </w:rPr>
        <w:pict>
          <v:rect id="_x0000_i1025" style="width:458.65pt;height:.75pt" o:hrpct="980" o:hralign="center" o:hrstd="t" o:hrnoshade="t" o:hr="t" fillcolor="#ccc" stroked="f"/>
        </w:pict>
      </w:r>
    </w:p>
    <w:tbl>
      <w:tblPr>
        <w:tblW w:w="4750" w:type="pct"/>
        <w:jc w:val="center"/>
        <w:tblCellSpacing w:w="0" w:type="dxa"/>
        <w:tblCellMar>
          <w:top w:w="60" w:type="dxa"/>
          <w:left w:w="60" w:type="dxa"/>
          <w:bottom w:w="60" w:type="dxa"/>
          <w:right w:w="60" w:type="dxa"/>
        </w:tblCellMar>
        <w:tblLook w:val="04A0" w:firstRow="1" w:lastRow="0" w:firstColumn="1" w:lastColumn="0" w:noHBand="0" w:noVBand="1"/>
      </w:tblPr>
      <w:tblGrid>
        <w:gridCol w:w="8892"/>
      </w:tblGrid>
      <w:tr w:rsidR="001B787D" w:rsidRPr="001B787D" w:rsidTr="001B787D">
        <w:trPr>
          <w:tblCellSpacing w:w="0" w:type="dxa"/>
          <w:jc w:val="center"/>
        </w:trPr>
        <w:tc>
          <w:tcPr>
            <w:tcW w:w="0" w:type="auto"/>
            <w:tcMar>
              <w:top w:w="60" w:type="dxa"/>
              <w:left w:w="79" w:type="dxa"/>
              <w:bottom w:w="60" w:type="dxa"/>
              <w:right w:w="60" w:type="dxa"/>
            </w:tcMar>
            <w:hideMark/>
          </w:tcPr>
          <w:tbl>
            <w:tblPr>
              <w:tblpPr w:leftFromText="45" w:rightFromText="45" w:vertAnchor="text"/>
              <w:tblW w:w="5000" w:type="pct"/>
              <w:tblCellSpacing w:w="45" w:type="dxa"/>
              <w:tblCellMar>
                <w:left w:w="0" w:type="dxa"/>
                <w:right w:w="0" w:type="dxa"/>
              </w:tblCellMar>
              <w:tblLook w:val="04A0" w:firstRow="1" w:lastRow="0" w:firstColumn="1" w:lastColumn="0" w:noHBand="0" w:noVBand="1"/>
            </w:tblPr>
            <w:tblGrid>
              <w:gridCol w:w="6617"/>
              <w:gridCol w:w="2136"/>
            </w:tblGrid>
            <w:tr w:rsidR="001B787D" w:rsidRPr="001B787D">
              <w:trPr>
                <w:tblCellSpacing w:w="45" w:type="dxa"/>
              </w:trPr>
              <w:tc>
                <w:tcPr>
                  <w:tcW w:w="600" w:type="dxa"/>
                  <w:hideMark/>
                </w:tcPr>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18"/>
                      <w:szCs w:val="18"/>
                    </w:rPr>
                    <w:t>Interviewee:</w:t>
                  </w:r>
                </w:p>
              </w:tc>
              <w:tc>
                <w:tcPr>
                  <w:tcW w:w="0" w:type="auto"/>
                  <w:hideMark/>
                </w:tcPr>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18"/>
                      <w:szCs w:val="18"/>
                    </w:rPr>
                    <w:t>Sheigla Murphy</w:t>
                  </w:r>
                </w:p>
              </w:tc>
            </w:tr>
            <w:tr w:rsidR="001B787D" w:rsidRPr="001B787D">
              <w:trPr>
                <w:tblCellSpacing w:w="45" w:type="dxa"/>
              </w:trPr>
              <w:tc>
                <w:tcPr>
                  <w:tcW w:w="600" w:type="dxa"/>
                  <w:hideMark/>
                </w:tcPr>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18"/>
                      <w:szCs w:val="18"/>
                    </w:rPr>
                    <w:t>Interviewer(s):</w:t>
                  </w:r>
                </w:p>
              </w:tc>
              <w:tc>
                <w:tcPr>
                  <w:tcW w:w="0" w:type="auto"/>
                  <w:hideMark/>
                </w:tcPr>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18"/>
                      <w:szCs w:val="18"/>
                    </w:rPr>
                    <w:t>Nancy Campbell</w:t>
                  </w:r>
                </w:p>
              </w:tc>
            </w:tr>
            <w:tr w:rsidR="001B787D" w:rsidRPr="001B787D">
              <w:trPr>
                <w:tblCellSpacing w:w="45" w:type="dxa"/>
              </w:trPr>
              <w:tc>
                <w:tcPr>
                  <w:tcW w:w="600" w:type="dxa"/>
                  <w:hideMark/>
                </w:tcPr>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18"/>
                      <w:szCs w:val="18"/>
                    </w:rPr>
                    <w:t>Date:</w:t>
                  </w:r>
                </w:p>
              </w:tc>
              <w:tc>
                <w:tcPr>
                  <w:tcW w:w="0" w:type="auto"/>
                  <w:hideMark/>
                </w:tcPr>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18"/>
                      <w:szCs w:val="18"/>
                    </w:rPr>
                    <w:t>January 1, 1600</w:t>
                  </w:r>
                </w:p>
              </w:tc>
            </w:tr>
            <w:tr w:rsidR="001B787D" w:rsidRPr="001B787D">
              <w:trPr>
                <w:tblCellSpacing w:w="45" w:type="dxa"/>
              </w:trPr>
              <w:tc>
                <w:tcPr>
                  <w:tcW w:w="0" w:type="auto"/>
                  <w:gridSpan w:val="2"/>
                  <w:hideMark/>
                </w:tcPr>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18"/>
                      <w:szCs w:val="18"/>
                    </w:rPr>
                    <w:pict>
                      <v:rect id="_x0000_i1026" style="width:444.6pt;height:.75pt" o:hrpct="950" o:hralign="center" o:hrstd="t" o:hrnoshade="t" o:hr="t" fillcolor="#ccc" stroked="f"/>
                    </w:pict>
                  </w:r>
                </w:p>
              </w:tc>
            </w:tr>
            <w:tr w:rsidR="001B787D" w:rsidRPr="001B787D">
              <w:trPr>
                <w:tblCellSpacing w:w="45" w:type="dxa"/>
              </w:trPr>
              <w:tc>
                <w:tcPr>
                  <w:tcW w:w="0" w:type="auto"/>
                  <w:gridSpan w:val="2"/>
                  <w:hideMark/>
                </w:tcPr>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NANCY CAMPBELL: Could you start by describing your professional identity and initial attraction to the field. Before you started doing this work, had you been acquainted with drug users or not?</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SHEIGLA MURPHY: I grew up in San Francisco in the 60s, so I knew plenty of people that used drugs—most of my friends used drugs. I first started working in drug research when I was working on my master’s degree in sociology. I had no idea why I was doing it or what I was going to do with it, other than I liked it a lot. Marsha Rosenbaum got a grant from the National Institute on Drug Abuse to do the first ethnography of women heroin users. I started working with her, and we kept getting grants to do studies of women on heroin, and then a study of women on methadone maintenance, and actually a couple of studies on methadone.</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Ten years went by and then I decided I wanted to go back and get a doctorate in medical sociology.  I’d been doing a lot of qualitative research, but I thought maybe I should learn how to do it right, or at least get some theoretical background. So I went to the University of California at San Francisco and studied with Anselm Strauss and Adele Clark, and got really interested in sort of the medical sociological aspect of it. I think also on a personal level, I had a couple of good friends that had got in real trouble with drugs prior to working on Marsha’s project. So I was very interested in what was going on there. Why were some people able to go through an experimental phase and just go on with their lives, and other people seemed to stay in drug worlds and really suffer because of it? That’s how I got here.</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Were you mainly working on NIDA grants through that entire initial period?</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 xml:space="preserve">SM: Actually, no, I skipped a whole research project. The first research project I worked on was with Dan Waldorf. We did a study for what </w:t>
                  </w:r>
                  <w:r w:rsidRPr="001B787D">
                    <w:rPr>
                      <w:rFonts w:ascii="Arial" w:eastAsia="Times New Roman" w:hAnsi="Arial" w:cs="Arial"/>
                      <w:color w:val="000000"/>
                      <w:sz w:val="27"/>
                      <w:szCs w:val="27"/>
                    </w:rPr>
                    <w:lastRenderedPageBreak/>
                    <w:t>used to be called the Drug Abuse Council. It was called “Doing Coke, Selling Coke,” and I knew a lot of people that were doing and selling coke. I was a cocktail waitress. I was working my way through graduate school and I was hanging around those scenes, so it was pretty easy for me to get people. In those days, cocaine was pretty much accepted in certain circles. Nobody really thought too much about it. It was cocaine’s heyday among white folks, really. So that was actually the first project I worked on. And I was interviewing folks, and I loved it. I really liked doing the interviewing. It was fascinating to hear people’s stories, and it was right up my alley. It was sort of like structured gossip—it was great. So that was the first project I worked on in 1974. Then Marsha and I started working together in ’77.</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Did you question the concept of addiction as far back as those first studies?</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SM: Actually, it was during that first study that I started to question the notion of addiction as being applicable to all kinds of drug use. Then, of course, there were people like Stanton Peele—I’d been reading his work—who problematized that whole notion. Then when we get into the 1980s, we were applying this whole model to almost everything—to shopping, to love-making. For me, it sort of ceases to have any real meaning. I think since that time I’ve really been questioning it, and I think later on I had more political reasons behind those questions. The concept of addiction precludes any notion of variance, really, and in the drug-using worlds that I entered and tried to learn about, there was just so much variation, regardless of the drug. Even if you’re talking about heroin, for example. Most people think, “Oh, heroin, that’s clear, it’s very clear. Everyone that uses it gets addicted.” And that just wasn’t so. During that time I was working with Marsha, I was always working with Dan Waldorf, John Waters, and Patrick Biernacki who were all in the Bay area, and all of whom were doing AIDS and drug work.</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 xml:space="preserve">When I worked with Waldorf in the early ‘80s, we did a study of natural recovery from heroin use. It was fascinating, because the dominant belief was that the only way to change your relationship with heroin was to go to treatment. Treatment programs were really proliferating. There had been a growth period during the Nixon years, when they were really building a lot of treatment programs. And we discovered there were quite a few people that were able to change their relationship with heroin without having to use treatment, and we were fascinated. I had worked on that study, and that sort of further made me think more about the actual utility of talking about addiction. Now, if you talk to drug </w:t>
                  </w:r>
                  <w:r w:rsidRPr="001B787D">
                    <w:rPr>
                      <w:rFonts w:ascii="Arial" w:eastAsia="Times New Roman" w:hAnsi="Arial" w:cs="Arial"/>
                      <w:color w:val="000000"/>
                      <w:sz w:val="27"/>
                      <w:szCs w:val="27"/>
                    </w:rPr>
                    <w:lastRenderedPageBreak/>
                    <w:t>users, they of course reflect the professional line. It’s particularly comfortable to think that when you’ve gotten into a bad relationship to a drug, and you’ve done a lot of things you’re really ashamed of and missed a lot of opportunities and didn’t finish college and didn’t raise your kids and went to prison, that it’s all the drug. That’s the same thing we all do. We focus a kind of tunnel vision on the drug use, and really don’t look at the rest of the things that are going on in a person’s life that really, I think, probably contribute to that. So when you try and say to someone who’s had a drug problem, “Well…I don’t know if ‘addiction’ is very useful,” certainly they immediately become very upset because it’s part of their cosmology in a sense, and their way of understanding the world, to say, “Well, the drugs made me do it,” or “This is my addiction speaking,” or “This is my addiction doing this or doing that.” It’s all part of that AA philosophy, which certainly helps a lot of people, but I think as scientists or policy makers it makes us frame the whole world, the whole problem, in a way which may not—and I’m going to use a strong word—which does not further our understanding of what’s going on. Frankly, it certainly makes us come up with some very destructive policies.</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What kind of research do you think would allow for a reframing of drug problems that would further understanding?</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SM: Well, I really loved your section on methods, but I think part of our problem is not our method but our philosophy, or, as you would say, our governing mentality. We can’t get outside of that. The whole problem of drug use being so stigmatized and criminalized means that those folks who have a different relationship to any of these drugs don’t get into our research projects. The 25 million people that used cocaine between 1975 and 1982 and didn’t have a problem with it obviously didn’t get into our research projects. Only the ones that really got into trouble with cocaine were study participants, so we don’t have the understanding of how a person experiments, maybe even uses heavily, and then walks out of that whole process with no intervention. It helps a lot to be white when you’re doing all that.</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 xml:space="preserve">But the orthodoxy is not even questioned, the political orthodoxy that says, “Drugs are bad, drugs are bad, drugs are bad, and drugs are causing us all kinds of problems.” There’s also the whole notion of, “If you’re using a drug, you’re on a slippery slope, you may not be addicted now but you’re going to be.” If that happens often enough, it’s like any other kind of stereotype. Particularly if you’re getting all your study samples from jails or emergency rooms or drug treatment </w:t>
                  </w:r>
                  <w:r w:rsidRPr="001B787D">
                    <w:rPr>
                      <w:rFonts w:ascii="Arial" w:eastAsia="Times New Roman" w:hAnsi="Arial" w:cs="Arial"/>
                      <w:color w:val="000000"/>
                      <w:sz w:val="27"/>
                      <w:szCs w:val="27"/>
                    </w:rPr>
                    <w:lastRenderedPageBreak/>
                    <w:t>programs, it’s like standing in the middle of a hospital and saying, “It looks like the whole world is sick.” That’s essentially what we as drug researchers do. So I don’t know that it’s our methods so much as it is the cultural climate in which we are trying to further our understandings. We have much better research coming out of Amsterdam and Europe from the point of view where you look at different various cultures and how cultures cross, and you look at the context in which these substances are being used. For example in the Dutch case, marijuana is very available and very underused. Now why is that? I’m certain there are lots of reasons. Drugs, like blue jeans, have fashion cycles. Every generation brings a new understanding of drugs, and a new reason to use them, and a new way of using drugs. The African American kids who are using marijuana in blunts have a whole different experience than the hippies sitting around in parks smoking weed full of stems and seeds. It’s not only the actual THC that’s doing it, but it’s also what you bring to the experience. It’s about what you bring and who you are and what you want, and what your generation or culture values in the particular experience. That’s why to me it’s a very fascinating field, and I haven’t gotten bored all these years. Drugs are a very interesting sort of barometer of cultures. Like why they use particular drugs, and what drugs they value, and what drugs they don’t value. Even given the so-called “recreational drugs,” there are huge differences from generation to generation in their relationships, and I find that fascinating.</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How do you view the attempt to cast addiction as a chronic relapsing brain disorder, and the whole sort of trend toward neurobiological and neurobehavioral studies?</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 xml:space="preserve">SM: I don’t think that science is furthered by only having neurobiology. That’s the field of the current head of NIDA, Dr Nora Volkow. Of course, if they made me head of NIDA, I would probably promote sociological studies, qualitative studies, but it seems like, much like drugs come into fashion, so do methodologies. I think that we will be ill-served by that process. Essentially, the brain imaging stuff that they’re doing is very much like taking a snapshot of New Orleans and then comparing it to a movie. The brain is a moving thing. So when you see these scans, yes, you see this up and this down, but that’s the nature of the brain. In some ways I think it’s all a piece of this move to genetic explanations for damn near everything. I certainly think neuroscience has its place. Let me say that I would be just as worried if we just took a sociological view. I really think that all of these things are pieces of what is a very </w:t>
                  </w:r>
                  <w:r w:rsidRPr="001B787D">
                    <w:rPr>
                      <w:rFonts w:ascii="Arial" w:eastAsia="Times New Roman" w:hAnsi="Arial" w:cs="Arial"/>
                      <w:color w:val="000000"/>
                      <w:sz w:val="27"/>
                      <w:szCs w:val="27"/>
                    </w:rPr>
                    <w:lastRenderedPageBreak/>
                    <w:t>interesting puzzle, but we have a tendency to over-value one piece at a time. For instance, epidemiology was really big for a while, and certainly I think that during the 1980s when AIDS came into play, we were of course trying to track a disease, so of course you would use an epidemiological approach. But it seems that we certainly have the person-power, and we certainly are putting enough money into this area that we should be able to support all kinds of ways of looking at this problem.</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On some of my interviews with NIDA folks, they say, “We let a thousand flowers bloom at NIDA.” Does that fit with your experience of the agency?</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SM: I have to say as a fairly well-funded researcher that there’s a lot of flowers blooming, but the ones that get cut and placed on the main table are very different. In other words, projects get funded, but a lot of times I think that their findings do not get disseminated in the same way. Obviously, projects like the Monitoring the Future study and those huge budget projects with huge samples obviously deserve the attention that they get. The smaller women’s center projects aren’t as well-funded. They go the same way as other areas of women’s health research. It’s not as well-funded, let me put it that way. Although I don’t think ethnography should be funded at the same level. We do very small projects with very small samples. Personally I can’t complain, but I think there are all kinds of areas that we could be looking at—like controlled drug use, like harm reduction, like recreational drug use. In this political climate—or at least the political climate that I’ve been functioning in since I’ve been doing this work—I just don’t see it ever happening.</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That brings me to a set of questions about research priorities in NIDA, and the extent to which you see your own research reflected in them. Who do you think is setting research priorities, and how?</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SM: NIDA actually does have almost a jury system in terms of their peer review. I don’t think it would be fair to say that NIDA quashes all kinds of social and cultural research. I would say that there are very few people—and I hate this expression, but here it is—there are very few people that think outside the box or that even put forth proposals outside the box.</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Let’s talk about the internal process and appropriations. Some of your comments earlier today indicated a certain amount of cynicism about that external process.</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lastRenderedPageBreak/>
                    <w:t xml:space="preserve">SM: Of course, NIDA manufactures program announcements where they say, “We want studies about this or that.” That’s an internal process. All I know is I watch the Internet and they appear. You also have the opportunity of course to design your own project, as you can propose a principle investigator initiated project. The problem with that, of course, is there’s no money that is actually set aside for that, so you’re competing against projects that they ask for. I’ve served as a reviewer on those committees. Basically the way the process is supposed to go is that within the pool of grantees, they ask you to serve on a review committee. Now for us qualitative researchers, it’s a huge burden to take on. You have to go to three review cycles a year. It probably takes easily six weeks out of your year to do this review. If you’re on a standing review committee, you do that. It’s a huge burden and there are many scientists that refuse to do it, particularly the older ones who have got a huge portfolio of research. It’s very time-consuming. If you’ve ever served on a jury, the process is very much like that. People come in with their own predilections and concerns. Some people come to the review committee with the attitude that if this person that’s in my area gets funded, then it’s less money for me somehow. Then there are other people that come in, like myself, because my little corner of NIDA is so small, and say, “There’s a huge pie out there, there’s plenty for everybody, if it’s a good project, let’s go with it.” Then the committee assigns a priority score that is percentiled against all of NIH. Then the process becomes a little bit more political in the sense that it goes to the funding council, which can then look over their priorities that are set by NIDA higher-ups with congressional approval. They can actually dip down the list and pick out projects that conform to whatever NIDA’s priorities are. For the most part, considering all the steps, it has the possibility of being fairly fair, but it is unfair to new investigators because one of the criteria, of course, is your past research. So it’s like anything else, you know: “Can I have the job?” “No, you don’t have any experience.” “Well, how can I get the experience if I can’t get the job?” There used to be mechanisms to work with that, but they actually got rid of small grants and new investigators proposals. But I think that process was probably a part of NIDA’s losing money, like every place else. Although they really have done very well considering, if you look at some of the other agencies. So that’s the internal process. The funding council, which comprises people appointed from the field—they don’t work for NIDA. They’re like super reviewers who meet and make recommendations to the director, and </w:t>
                  </w:r>
                  <w:r w:rsidRPr="001B787D">
                    <w:rPr>
                      <w:rFonts w:ascii="Arial" w:eastAsia="Times New Roman" w:hAnsi="Arial" w:cs="Arial"/>
                      <w:color w:val="000000"/>
                      <w:sz w:val="27"/>
                      <w:szCs w:val="27"/>
                    </w:rPr>
                    <w:lastRenderedPageBreak/>
                    <w:t>the director goes to Congress. And then members of Congress, of course, have certain things that they want to know about.</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Does NIDA ever say anything to you about your public persona or what you say to the press? Has anyone ever tried to discourage you from talking about harm reduction?</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SM: No. There are plenty of people inside NIDA that talk about that, too. There are plenty of people that are well-funded NIDA researchers who believe in harm reduction. I always think they must not read my stuff or listen when I talk. Marsha has now gone into the policy end, and she couldn’t be a more outspoken proponent for decriminalization. We differ a little on that. But she spoke quite clearly about harm reduction when she was funded by NIDA as well. Actually right now I’m funded by the National Institute of Justice, which was a real surprise because they are not known for funding small qualitative studies. And I’ve felt very free about speaking my mind, and I don’t plan to change that. Certain people in NIDA have very different views than I do about drugs and what sorts of interventions are necessary. But then again, I don’t do prevention research.</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Is prevention research more politicized?</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SM: Yes, in a lot of ways they have to be a lot more conservative in their approach because they’re usually dealing with kids. It’s one thing to talk about adult drug use and where that’s coming from and what we should do about it. It’s a whole other thing when you start talking about kids, and I think that sort of colors their whole approach. I actually was on a panel with most of the big prevention people, so I got to know a lot of them in the course of doing that and I certainly read a lot of their proposals. You know, there’s some really good science, and there’s some real junk science that’s going on.</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 xml:space="preserve">Within NIDA, I think when you talk to program officers, if they do say something about harm reduction, or if they do say, “Yes, there are people who are controlled drug users,” it’s just not part of their public presentation. There are quite a few good program officers who play a very important role in terms of furthering research and helping new investigators get grants and get funded. Most of them have done some kind of research or some amount of research before they get into that. There certainly are a lot of people who do drug research who never actually face a drug user. And in fact I was a little bit of a curiosity because they think, “You actually sit down and talk with them?” They’re doing different kinds of research, and it’s not necessary for them to necessarily have long chats with people. It depends on the individual </w:t>
                  </w:r>
                  <w:r w:rsidRPr="001B787D">
                    <w:rPr>
                      <w:rFonts w:ascii="Arial" w:eastAsia="Times New Roman" w:hAnsi="Arial" w:cs="Arial"/>
                      <w:color w:val="000000"/>
                      <w:sz w:val="27"/>
                      <w:szCs w:val="27"/>
                    </w:rPr>
                    <w:lastRenderedPageBreak/>
                    <w:t>scientist. Certainly there’s plenty of people at NIDA that wouldn’t know a drug user if they tripped over them.</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Do you think director’s priorities matter?</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SM: Certainly. I think that Alan Leshner, because he’s the ultimate politician, steered NIDA through some very, very angry waters, frankly. I don’t think that NIDA would have kept the budget that it had had it not been for Leshner. There was an attitude of, “We need more money for treatment, we don’t need research. We need to put all the money in interdiction.” It matters very much who the director of NIDA is because of the politics of dealing with Congress, and the politics of getting money. Essentially what NIDA does is fund research like any other institute. That’s its major role, to fund and promote research. So if you don’t have an advocate to give voice, or to work the political system, you’re screwed. On the one hand, you want someone who has a sense of science, but that person may not be the right person in terms of going in and negotiating, and figuring out what you need to do to promote a particular agenda. Leshner was great in his role as an administrator. And it was a considerable political battle to get Dr. Volkow in office.</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How do you see the politics of drug research?</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 xml:space="preserve">SM: Drugs are a hot button issue. You never can tell when Senator Biden is going to jump up and start screaming and yelling that NIDA is funding too many studies, or some Congressional person is going to stir up controversy over funding studies of sex workers. Those kinds of things can happen at any time. There’s so much of a sort of moral overcoat and undergirding of this whole thing—I mean the whole sense of morality and drug use—that certainly sort of mucks up the science in some real sense. A good example is harm reduction and the whole notion that by making certain policy recommendations, we are sending certain messages, particularly to the children. So that we’re not structuring a particular policy on what works necessarily, or what will be most cost-effective, or what will reduce the social and emotional and physical costs of drug use. It’s that sending-the-message stuff that makes it very difficult. On the one hand, it’s hard for me not to see that as wholly stupid, but on the other hand, I can see where folks have a real belief system that if we could get rid of all drugs, we could get rid of a lot of our social problems. I don’t think that’s the case, and my argument is that we have no way of knowing that, because we’re not going to get rid of all the drugs. But I think for those folks, that’s a very serious concern. Obviously, I don’t want my children to become drug </w:t>
                  </w:r>
                  <w:r w:rsidRPr="001B787D">
                    <w:rPr>
                      <w:rFonts w:ascii="Arial" w:eastAsia="Times New Roman" w:hAnsi="Arial" w:cs="Arial"/>
                      <w:color w:val="000000"/>
                      <w:sz w:val="27"/>
                      <w:szCs w:val="27"/>
                    </w:rPr>
                    <w:lastRenderedPageBreak/>
                    <w:t>users, and certainly nobody sits around and says to themselves, “Geez, I hope some day my son or daughter gets a heroin habit.” This is not something of anybody wants. That fear and morality about what’s right and what’s wrong drives a whole lot of the sort of research we undertake, the sort of assumptions we make when we formulate our research questions…and even what methods we use, and how we interpret our findings, and then what sort of policies we recommend coming from that. When you get into a discussion with another scientist about a particular research finding or about a particular methodology, it’s a heated argument and everybody is very invested in their position. Like, for an example, today when a young man that got up and talked and told his story about his personal drug problem–that almost always happens. It almost always happens. I can’t imagine another session on an issue where someone would feel that that was an appropriate thing to do, that it was appropriate to completely personalize everything, and tell your life history about that while incorporating all this junk science stuff about holes in the brain and so on. Not to belittle his contribution, because that is something that you see played out on every level. You see people do that. You see people present findings and then interpret them in this way. And then when you point out to them, “Well, it really looks like most people didn’t have this happen to them, or didn’t go to jail, or whatever” and you watch the disconnect people make between what’s in front of them and what their findings are, and what their interpretations are.</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How do you go about reviewing studies that take place outside your own methodological or sociological approach?</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 xml:space="preserve">SM: It’s very hard, but I think it’s really important to keep on top of all that research. I sit there with a medical dictionary. One area that’s problematic is the research that’s done about fetal outcomes and maternal contributions to bad fetal outcomes—the whole crack baby thing. There was a meta-analysis in the Journal of Pediatrics where they found that if you didn’t have a negative outcome, you didn’t get published. That has happened to me. Years ago I wrote this article called “Drifting into Dealing” where I interviewed a number of cocaine sellers, and a number of them were women. They were essentially white, middle-class women who were selling pretty small amounts of cocaine and living, for the most part, very conventional lives. It wasn’t a very exciting article, but it was pretty much my findings. I literally got a review back where somebody said, “You’re lying. You’re portraying these women like Girl Scout leaders.” I had sent it to Social Problems, </w:t>
                  </w:r>
                  <w:r w:rsidRPr="001B787D">
                    <w:rPr>
                      <w:rFonts w:ascii="Arial" w:eastAsia="Times New Roman" w:hAnsi="Arial" w:cs="Arial"/>
                      <w:color w:val="000000"/>
                      <w:sz w:val="27"/>
                      <w:szCs w:val="27"/>
                    </w:rPr>
                    <w:lastRenderedPageBreak/>
                    <w:t>and they kept it for a year and a half, sent it back, and said, “Well we can’t publish this. Send it to a drug journal.” When I sent it to the next one, I got this scathing, unbelievable review. Eventually it got published in the British Journal of Addictions. But I couldn’t get it published here in the States because it normalized drug dealers. I think that was probably the first time that ever happened, at least to me. Anyway, it was a very interesting experience, and it took me two years to finally get the thing published. Frankly, I didn’t think it was that far out.</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What have been the changes in your work, and the kind of research questions that you’ve been asking, over time?</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SM: I think I didn’t know very much when I first started doing this kind of research. So I was much more interested in just finding out what people were doing, how they were doing it, and to a lesser extent, why. Because that always seemed a rude question to me. As I learned more about drugs, drug users, drug cultures, drug worlds, the why question became of more interest. Certainly as I grew to know more and more about how people use drugs, I became less and less interested in their drug using, and more and more interested in other aspects of their lives and in discovering how they understood their experiences. To some extent what you hear from people who are using drugs could be coming out of the mouths of the most conservative researcher. That makes me very sad. Most of the men and women I interview are very troubled. Their troubles have little or nothing to do with the things that they’ve done. This dominant cosmology of, “It’s all my fault and I did everything” is very depressing. I’ve sworn off the kind of work we did for the Pregnant Women on Drugs book. I’m not going to do that anymore. It’s just too depressing. That’s why in a sense, I’ve gotten off cocaine, crack, and violence and moved on to a more fun drug. Doing that depressing kind of work makes you want to just scream at the world, and it makes you feel in some way that you’re contributing to the problem because it’s not your role to turn around and say to the subject, “Look, it has nothing to do with you, it’s not your fault.” It’s not your role to be a political organizer.</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 xml:space="preserve">I think my other life, in which I do needle exchange work, my private life, is what saves me in terms of being able to do things to work against that sense of contributing to the problem. In some ways I think doing a life history with someone who doesn’t tell you you’re a bad person, or pretty much just listens to what you have to say, can be a very therapeutic event—and often is. The problem is that that is nowhere near enough, and it’s very exploitive. In order to be able to live </w:t>
                  </w:r>
                  <w:r w:rsidRPr="001B787D">
                    <w:rPr>
                      <w:rFonts w:ascii="Arial" w:eastAsia="Times New Roman" w:hAnsi="Arial" w:cs="Arial"/>
                      <w:color w:val="000000"/>
                      <w:sz w:val="27"/>
                      <w:szCs w:val="27"/>
                    </w:rPr>
                    <w:lastRenderedPageBreak/>
                    <w:t>with yourself as a researcher, you have to do some sort of community service or community organizing, in order to counter-balance that. Needle exchange is one of the things I do—I’m on this women prisoners network as well. That’s how I live with myself. Because you really do feel you’re going into people’s lives and worlds and taking photographs, essentially. They’re getting whatever pittance you can get out of NIDA to give them, and you’re getting a career. There’s no way to even that out, other than to go into those same worlds and put something back. It’s the classic anthropological dilemma. On some projects I feel very good about it, and on other projects I feel bad about it when it’s all said and done. Of course, it’s never actually done, I’m always writing up the data. Sometimes I feel like, “Okay I’ve done something good here,” and others I feel like, “Oh geez, I think I’ve made things worse.”</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have you always had that feeling, or did it grow around crack, specifically? Was it then that the feeling became as poignant as what you’re describing?</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SM: Yeah, I think I always sort of had a sense of it, though. Certainly, the historical moment of crack, not just crack itself, had something to do with it. I think crack is a really dumb way to use what can be a drug that some people get some pleasure out of. But it’s a dumbass way to do it. But certainly that historical moment was one when there was a lot going on in the inner cities, the recession, all those things that made being poor in the big city awful, regardless of whether you were using drugs or not. All those things together made me feel that it was an uneven relationship, although I think I always sort of had a sense that I was getting more out of the relationship. I got some comfort from the fact that most of the time people told me that this was a good thing. Some people wanted copies of the interviews, because it was sort of like a way of producing a diary for them. It still doesn’t feel right all the time. Even if a person says that to you, you still say, “Well I’m still getting a lot more out of this than you are.”</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Is that how you would characterize the ethical dilemmas that you confront in the field? That classical anthropological dilemma is a way of characterizing ethical action. What other ethical dilemmas keep you up at night?</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 xml:space="preserve">SM: Well, let me try and think about that for a minute. Certainly there’s the ethical dilemma that always occurs, and I think that’s the reason why I steer away from certain kinds of studies. I think about drug use and pregnancy, and say, we don’t need any more ethnographies about </w:t>
                  </w:r>
                  <w:r w:rsidRPr="001B787D">
                    <w:rPr>
                      <w:rFonts w:ascii="Arial" w:eastAsia="Times New Roman" w:hAnsi="Arial" w:cs="Arial"/>
                      <w:color w:val="000000"/>
                      <w:sz w:val="27"/>
                      <w:szCs w:val="27"/>
                    </w:rPr>
                    <w:lastRenderedPageBreak/>
                    <w:t>this. We’re pretty clear about it. I think that asking women to relive some of the shame and stigma is definitely an ethical dilemma. When we were doing those interviews, they were highly emotional, and we discontinued a lot of them. We would get to a point where we would say, “You know what, you don’t have to keep going with this, you don’t have to go on.” On the other hand, those stories needed to be told. As far as I’m concerned, they’re told. Then there’s the ethical dilemma of making someone relive that experience. There’s the dangerousness of opening all those things up. Certainly, we had people we could refer them to but most of these people don’t have the time or the confidence or the resources all the way around to pursue a psychoanalytic path. It’s too damn dangerous, frankly, and they’re not going to get very far, because most folks that provide that kind of help won’t work with anyone that’s using drugs. So that became a problem for me. I had no idea this was going to happen. I had absolutely no idea. Going into the project I would not have predicted that. I was worried about finding respondents, people that are willing to talk to me. I had all these other worries that were not a problem at all. For me, I guess what the real problem was that issue and then knowing there were so many women that were in so much danger out there, and having so little to offer them. Now that’s not my personal fault, but when you come up against someone that’s in that situation and you have so little to give them, you feel like you have to give them something.</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 xml:space="preserve"> That’s why I have a lot of respect for people that do social work. I don’t know how they can sustain themselves, because there’s so little that they have to offer, and yet it’s their job to do that. The other ethical dilemma had to do with just being a white woman. That sucked. I really wished I was of another color. I certainly hired as many people of color as I could on the project. I often felt that I was completely in the wrong social location in so many ways. I certainly knew a lot about drugs and drug worlds. But, obviously, the samples that are easiest to get, are poor women. So that dilemma really sucked. We worked very hard to get more middle-class women to do the interviews, but as you can imagine, not many were willing. As one of my colleagues said to me, “You just keep going down and down the stigma train.” As researchers, I think you take on some of that stigma. I mean people in medical sociology kind of go, “Oh you do drug research? Ooooh....” It’s not prestigious; let me put it that way. And people outside of scientific fields assume that you sit around and do drugs all day. That’s the other thing </w:t>
                  </w:r>
                  <w:r w:rsidRPr="001B787D">
                    <w:rPr>
                      <w:rFonts w:ascii="Arial" w:eastAsia="Times New Roman" w:hAnsi="Arial" w:cs="Arial"/>
                      <w:color w:val="000000"/>
                      <w:sz w:val="27"/>
                      <w:szCs w:val="27"/>
                    </w:rPr>
                    <w:lastRenderedPageBreak/>
                    <w:t>they’re not sure about. They’ll look at you and say, “You talk to drug users? Why would you do that?” “For what purpose?”</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You still run into that after all your years in the field?</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SM: Sure. I mean, I really like the one where I sit around and do drugs all day. I go, “No, not exactly. Not exactly.” When I was younger, I think I was more arrogant. I think I thought I could talk to anybody and that I could represent anybody. As I get older, like everyone else, I realize how little I do know. I realize more and more that of course that can’t be done. Knowing what I know today, I don’t think I would have done the pregnancy and violence stuff. Certainly, it would have been a lot better if such an investigation could be put together by people of color. I think that really would have been a lot better.</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What do you think explains the seeming absence of people of color from the field?</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SM: Because they have enough stigma to contend with. Why should they take on more? That’s very simplistic, but there are only about three or four women I know that do this work that are African American. When you go through getting your doctorate, and you go through all the racism and classism that you have to go through to get that far when you’re a person of color, you sure as hell don’t want to get into a field where you’re marginalized even more. I don’t pretend to speak for people of color, but I’ve certainly talked to younger students, Ph.D. students, and tried to talk them into it. “Get into drugs, it’s really fun.” They’re like, “Hell, no.” Not only “No,” but “Hell, no.” So I’m certainly not the person to answer that question, but that’s what I think is probably going on.</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Judging from what you know of NIDA, is there much concern about the absence of young people and people of color from the field?</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 xml:space="preserve">SM: There used to be. About maybe eight years ago, there was a lot of talk at NIDA, at least around the peer review table, about getting more people into the field. People used to say, “We’re graying as a field,” and all that sort of stuff. The demise of R-21s, which was a mechanism for getting people coming out of other fields to come into drugs was a concern. But they’re starting to signal that that’s no longer a big concern. I really haven’t given a whole lot of thought to this. But I know that in the early 1980s, we got a whole influx of people from various fields because of HIV. There was so much AIDS money that there were a lot of people who came into drug research through the HIV mode. On a lot of the projects we were doing, we asked at least needle-sharing </w:t>
                  </w:r>
                  <w:r w:rsidRPr="001B787D">
                    <w:rPr>
                      <w:rFonts w:ascii="Arial" w:eastAsia="Times New Roman" w:hAnsi="Arial" w:cs="Arial"/>
                      <w:color w:val="000000"/>
                      <w:sz w:val="27"/>
                      <w:szCs w:val="27"/>
                    </w:rPr>
                    <w:lastRenderedPageBreak/>
                    <w:t>and sexual behavior questions. But I don’t know now if people feel like we’ve got plenty of folks, or what the hell is going on. When you look around the review tables, there just aren’t a lot of young people, particularly in the behavioral end of things. That may be because behavioral research is out of fashion right now. And so the older folks are thinking, “We don’t need any new ones, there’s not enough for us as it is.”</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Another thing particularly for the behavioral and social people was that we were really worried about when our applications were going to be percentiled against all of NIH.</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We were all singing the doom and gloom, because we all thought, “No behavioral research is going to get funded again.” This was essentially what we believed three years ago. NIH actually moved to that system 10 years ago. The rest of most of the other institutes were being percentiled against each other a good 10 years ago. NIDA was kept out of the loop. We were essentially one study section with all these different sub-sections. I don’t know exactly how it worked, but we were one of the last institutes to get percentiled against the rest. There was good reason for that because the kind of research we do is different. Our research is different from cancer research, our samples are different, our methods are different. Some would say not as stringent, some would say that all drug research is junk science because of our difficulties doing any kind of experimental studies other than on animals. But as far as I know, we’ve fared okay. I think that the social/ behavioral section has seen some decreases, but it’s probably more the result of the decrease in actual funds available.</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Is there an incredible spillover of the stigmatization of client and subject populations to the researchers?</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SM: Yes, it happens among the doctors, too, and the treatment providers. About 20 years ago, they actually made up this new area of medicine called “addictionology,” basically to spruce up the field. Because doctors that treated addicts, particularly those who did methadone work, were considered pill-pushers who were not doing good medicine. Treating chronic illness generally is not very sexy doctoring, because you don’t get to have any magic cures. The nature of chronic illness is that it keeps coming back. So there is some spillover from that as well. Definitely, I would think that drug researchers are—in the general health research area—considered to be the bottom of the barrel.</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Would it be fair to characterize it as a low status science?</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lastRenderedPageBreak/>
                    <w:t>SM: Right. It’s very low status. I certainly think that all this genetic and brain-imaging is an attempt to a) attract the best and the brightest. Because that’s pretty exciting, to figure out exactly what drugs do in the brain. Years and years ago, when I was still in graduate school, a neurobiologist from Dartmouth came to see me because he’d come across some of my work and he came to see me. Trying to read neurobiology was just so hard for me. So I just wanted him to sum it up for me, give me the Cliff notes of the neurobiology of drug use and addiction. And he said to me, “Well, as far as we know, drugs come into the brain, they do their stuff, and then they leave.” And I said, “You know, that’s what I thought.” Obviously, I’m not a neurobiologist, but I’ve certainly known a lot of people that have used copious amounts of drugs and alcohol, and they come out at the other end and write great books and think good thoughts. I thought, okay, that’s no sign of anything, maybe they were super-brains and they killed off half of their brain cells and they still had plenty left.</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it sounds like you have a basic immunity from the belief that there are structural and functional alterations in the brain due to drugs and alcohol.</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SM: I am suspicious of that claim. I certainly wouldn’t want to say that that’s not a possibility. But I am very suspect of those kinds of claims. I read all that stuff very carefully, and I think the brain has incredible regenerative capacities. Some of the assumptions that they make, particularly about the dopamine process, are subject to context and culture. Today’s comment about dopamine was very interesting because dopamine is such an incredible system. When we eat food, and when we laugh really hard, we can uptake and retake and do all that stuff without putting any kind of chemical into our brain. When you talk to the really good scientists that are doing that stuff, they always want to know about context and culture. The really smart ones that I have talked to or the ones that I admire are always saying, “Well, okay, this is fascinating to me, but it’s such a small portion of what we know about what happens when people use drugs.”</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That’s a really interesting point. The geneticists are that way as well, the good ones are saying “These are weak signals, there’s a lot happening in a lot of different places, there’s no one location.” Yet somehow the public perception is that someone is going to find an on/ off switch.</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 xml:space="preserve">SM: Exactly—that’s the way it is for everything, whether it’s aging or drugs or alcohol. Some of that is wishful thinking. All of us in some way </w:t>
                  </w:r>
                  <w:r w:rsidRPr="001B787D">
                    <w:rPr>
                      <w:rFonts w:ascii="Arial" w:eastAsia="Times New Roman" w:hAnsi="Arial" w:cs="Arial"/>
                      <w:color w:val="000000"/>
                      <w:sz w:val="27"/>
                      <w:szCs w:val="27"/>
                    </w:rPr>
                    <w:lastRenderedPageBreak/>
                    <w:t>or another are touched by problems that are in some way drug-related. Sometimes when I go to social gatherings, I don’t tell people that I do drug research, because if I do, I’m going to hear all about their Uncle Harry, and do I have any hope for them–“Uncle Harry is such a sweet guy, but he just can’t leave the coke alone. . . .” That personal connection and that sense that everybody knows something about this makes everybody a critic of your work.</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 xml:space="preserve">There was a woman named Kathleen Merikangas who was working on the Genome Project doing twin studies and looking at who got into drugs and who didn’t. We got to be very close friends. We had some wonderful discussions. She was just so smart and so careful about what you could actually do with her findings. So the folks that are looking at the genetic stuff, and even some of the brain imaging gals that I’ve talked to, the good ones are really very interested in culture and context. They realize that they’ve got a little tiny view of what’s going on. I myself would say that humility comes with the better science, frankly. By “better science,” I don’t mean method, but better science in terms of interpretation, findings, and where they’re willing to go with their findings. The problem is that you don’t really have very much control over what the media does with your work. I’ve certainly had news media that used me in ways that almost make you not want to talk to them anymore, because of the way they use your work. Today I was talking about Ira Chasnoff, that’s a perfect example of a guy who seems to be a really good guy, doing really interesting research, who literally might be considered the father of the crack baby. And it was not at all what he was trying to do. It’s very difficult, for example, to talk to a news reporter or somebody that’s putting on some sort of television show, and present very complicated findings. You’re on the phone with them for an hour, and what comes out is very selective and usually not very complicated. They are very sensation seeking, of course, because that sells papers. But on the one hand, I think that if you take public monies—and here’s another ethical issue—I think that you owe it to the public to make your findings available and accessible to the public in a manner that is useful to people. One of the things I try to get younger colleagues that are trying to put together proposals to think about is what you and your friends and the people on TV are interested in. It doesn’t make any sense to write a grant proposal to study something that nobody cares about. I mean, this is public money. The public has to want to know about these things. Hopefully, we don’t formulate our research questions solely based on that, but certainly the research </w:t>
                  </w:r>
                  <w:r w:rsidRPr="001B787D">
                    <w:rPr>
                      <w:rFonts w:ascii="Arial" w:eastAsia="Times New Roman" w:hAnsi="Arial" w:cs="Arial"/>
                      <w:color w:val="000000"/>
                      <w:sz w:val="27"/>
                      <w:szCs w:val="27"/>
                    </w:rPr>
                    <w:lastRenderedPageBreak/>
                    <w:t>topics need to be about something that somebody cares about. Or quite a few somebodies if they are coming out of taxpayer money.</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I’ve always wanted to know exactly what “broader significance” means. When you think about it, “significance” is a very political term. There are political considerations, in every sense of the word. You can talk about significance, “Well do we have many studies that already look at that question?” or “How is this particular project or investigation going to further the science?” but that’s not usually what we mean by significance. What we usually mean is, do we care about this research? And how do we care about things? Caring is a political process.</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Do you think that there things we now know well enough that we should close out the research effort? Some of what you said earlier about your study that was published as Pregnant Women on Drugs suggested that to me.</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SM: That sounded very arrogant, when I think back to what I said. I can’t do this kind of research anymore. What I really am thinking is that it’s really very, very difficult to do, and maybe there are some ethical issues about doing it that are problematic. I have a good friend who says we don’t need any more ethnographies, that they are just not necessary. Of course, I hate it when she says that, because that’s what I do for a living. But we understand a lot about what it’s like to use an illegal drug, and we know a lot about what that social location looks like. We know in some sense that there is no oppositionality, that there is very little power in that social location, and that the solutions or the interventions that we should be looking at probably have very little to do with drugs at all. I’m more comfortable doing the kind of work in which you talk to the people that have a knowledge of what it is you want to know about. But I kind of get her point.</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Yes, I wrote something like that in Using Women, in the chapter on ethnography where I say some of the studies just shouldn’t be done because they open vulnerable people up to such scrutiny. But I think it’s very hard to do the kind of work that you do. What do you do around IRB, how does that work for you? What kinds of protections do you have in place, and do you think that kinds of protections that we have are sufficient for what you’re doing?</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 xml:space="preserve">SM: When I’m doing projects, I usually go above and beyond what my IRB requires. The IRB requires basically that you give informed consent. Obviously, there’s the informed consent piece, there’s the piece where you do as little harm as you possibly can, there’s the piece </w:t>
                  </w:r>
                  <w:r w:rsidRPr="001B787D">
                    <w:rPr>
                      <w:rFonts w:ascii="Arial" w:eastAsia="Times New Roman" w:hAnsi="Arial" w:cs="Arial"/>
                      <w:color w:val="000000"/>
                      <w:sz w:val="27"/>
                      <w:szCs w:val="27"/>
                    </w:rPr>
                    <w:lastRenderedPageBreak/>
                    <w:t>where you demonstrate some sort of benefit for whatever potential risks to the interviewee, and there’s the piece that’s about some sort of compensation for their time. It depends on the project, and what sorts of questions that you’re asking. For example, on the MDMA sellers project, there’s probably more risk in terms of the possibility of the information getting to the wrong sources. We do everything humanly possible to protect people from that, including never having anybody use their own names, which was a little bit difficult to get through the IRB. But we managed. Every project has different problems within it, some of which don’t come up until you’re in the midst of the project, you’ve got IRB approval and you’ve got your protocol going. There’s a real “trust me” piece to that more generally, and that can be a real problem. I have been very lucky and very conscientious, and I work very hard at it. Even in those situations that there could have been some difficulties, I have been able to work things out so that it doesn’t happen.</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Has the scrutiny of the IRB intensified in your line of work?</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SM: It’s always been–at least at our institute, it’s always been. And the investigators are very conscientious about it. Over the last five years it has intensified. There’s all kinds of room for serious problems like the whole thing that happened at Hopkins. I think that as social and behavioral scientists, because we’re not taking bloods, and we’re not taking bodily fluids, and we’re not giving test results, and we’re not doing all the sorts of things that biomedical researchers do using drugs or devices, there’s a tendency for people not to think through a lot of the issues. Mistakes are made, but that is one thing about the peer review system that I think is excellent. People who have done that kind of research are sitting there looking at your protocol, saying, “Wait.”</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There’s one part of the IRB stuff that’s really problematic for me as a researcher that was really for the biomedicine and devices people. That is the fact that you have to include children in research, which is a real pain in the ass for me, in the kind of research I do. Getting parental approval for the study of MDMA sales is difficult. That’s one of those situations where across NIH, they want children to be included in these samples. It’s the same situation women were in years ago—“we can’t put them in because they have their period.” That’s bullshit. But there are situations where the only thing you can say is, “No parent is going to let me do this.” And that’s not enough of a reason not to include children in your sample.</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lastRenderedPageBreak/>
                    <w:t>NC: Right. So you have to include children in your sample? Is there a number or a percentage?</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SM: Yes, you have to do it according to the population. I just went through the whole process when I was getting this last NIDA grant. I talked about how I was going to try and get parental approval, and the whole time I’m writing, I’m thinking, “This is such bullshit. Nobody is ever going to do this.” Wisely enough, the review committee turned around and said, “What is she, nuts?” They basically wrote what I would have written, and I got a bar to funding, but it was great, because I turned around and said, “Well, fine then, I’ll just do people over 21,” which was what I wanted to do anyway.</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 But my philosophy is that those kinds of things have to be. Everybody has to be held to the standard of, “These samples have to include children, because if we don’t have that, then we don’t have cancer research that includes children in those samples. So the little problems that I go through are nothing. Certainly, in those situations it seems sort of silly, but you have to address that issue.</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Do you feel that intensification around the whole IRB process has changed the nature of your research or prevented you from doing certain kinds of research that you otherwise would have done?</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SM: Not really. No. Once “science” gets on a particular path, it’s hard to knock it off. Like prevention science. Here’s a really good example – the DARE program, which by multi-million dollars evaluation has been shown not to work. Yet now I think NIDA is funding yet another five-city study to look at DARE.</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What do you make of prisoner research?</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SM: When I was really young and working with the Prisoners Union, I was personally very against it because there’s no such thing as informed or voluntary consent. End of story. If you have no way of making any money or no resources, how can you volunteer, right? And I don’t know that I’ve changed very much from that position.</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So much of drug research prior to the 70s was prisoners. Have you seen much involvement of prison activists around drug issues?</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 xml:space="preserve">SM: Actually, there is quite a bit and in the other direction where drug reform people have gotten really involved with the prison movement, too. In California we had Proposition 36, and we were trying to keep people completely out of the prison system and in the treatment programs. Drug treatment has gone through a lot of iterations since I’ve </w:t>
                  </w:r>
                  <w:r w:rsidRPr="001B787D">
                    <w:rPr>
                      <w:rFonts w:ascii="Arial" w:eastAsia="Times New Roman" w:hAnsi="Arial" w:cs="Arial"/>
                      <w:color w:val="000000"/>
                      <w:sz w:val="27"/>
                      <w:szCs w:val="27"/>
                    </w:rPr>
                    <w:lastRenderedPageBreak/>
                    <w:t>been in the field. For example, when I first started studying methadone, or just prior to my first starting to study methadone, they only took women who were partners of men into the program. First, women were not even allowed in the program – and then they realized that if they left the wives and girlfriends untreated, the guys kept using. So they said, “Okay, well…” It was literally that the man was the focal point. Then they had what people called methadone marriages, which was, you hooked up with a guy and you claimed to be his wife or girlfriend in order to get on a methadone program.</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I think I started out very anti-methadone, but then I came to see its utility, and after studying it and seeing that it really could help people, if delivered properly and respectfully. Unfortunately, that doesn’t happen very often. In terms of other kinds of drug treatment, I have this kind of flip thing that I used to say, “There’s only two kinds of drug treatment: there’s methadone maintenance and cut-that-shit-out.” I remember saying that over and over and over again. But that’s not how I feel now. I used to say that, but as I learned more about it, there’s certainly some really interesting stuff that’s going on out there. Some of the best treatment programs are marginally funded, they last for a couple of years, and then the funding goes away and they go away as well. We’re spending a whole lot of money trying to find a cocaine substitute, which I think is really a dumb idea. Because methadone’s been quite successful, we are looking for a cocaine substitute. But then, heroin is a very different drug than cocaine. Lots of people—even people who by everybody else’s standards are addicted to cocaine—don’t use it every day. Heroin is a drug you have to use every day. That’s just how it is. It’s the classic addictive drug. Much like someone who becomes addicted to alcohol has to use it every day. And so the notion of taking another drug every day is not going to make sense from anybody’s perspective, except for the pharmaceutical companies. One of them is going to figure it out and make tons of money. But I don’t think they’re going to come up with one even now for 10 years. I don’t think it’s going to work.</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Other than drug substitution, certainly therapeutic communities have worked for some people. But the guy who was head of our huge Walden House just committed suicide, because he was absconding with all the funds. This seems to happen a lot in these big therapeutic communities – the head guy becomes tyrannical. Lots of people don’t want to live that way. Lots of people don’t want to live in a tyrannical institution.</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lastRenderedPageBreak/>
                    <w:t>NC: What about all these providers out there? I mean, there’s a huge cadre of treatment providers now.</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SM: It’s a huge business since the Nixon era. Nixon built all the programs, literally – the buildings and everything. One of the things we really need to do is to fold the treatment industry back into the medical system. It absolutely doesn’t make sense from any way you think about it to have some people that are treating your addiction and some people that are treating the rest of your body. It just doesn’t make any sense that you can’t go to the same medical facility and get all of those things taken care of. But that of course is not going to happen in our time, because we do have this incredible treatment industry, that is now self-perpetuating. As long as the insurance companies are willing to pay for some piece or portion of that it is self-perpetuating. Although in our research, many people with medical insurance do not use their medical insurance for drug treatment, because they don’t want it in their records. During the cocaine epidemic in California—and “epidemic” is a word I don’t really like to use—it seemed like almost every hospital in the Bay area built a residential treatment wing. This was, I thought, very amusing. There were cocktail parties to celebrate the opening of this new wing. And many of them closed down.</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The social world of treatment providers is interesting. The term ‘substance abuse’ has worked as an umbrella term that has forced them together, but aren’t they really two separate cultures? Somebody recently told me an anecdote. She said, “Look, we couldn’t even go to each others’ parties because at the alcohol treatment parties, they were all using pot, and at the drug treatment people’s parties we’re all using alcohol.” She really put it in terms of there being two cultures.</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SM: Exactly. And, of course, you go to one place for your alcohol treatment and another place for your drug treatment. We have the NIAAA and we have NIDA, and the people that are doing drug research know very little about the alcohol research, and vice versa. Even though the subjects are all using everything together.</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And what about nicotine and tobacco?</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 xml:space="preserve">SM: Yes, we certainly look at tobacco, and we certainly ask questions, “Do you smoke and how much do you smoke?” and all that sort of stuff. Actually when we were looking at the treatment stuff, we did actually talk a lot to them about tobacco. Our big finding was that most people said, “The worst drug for me to kick was cigarettes.” You’d ask them </w:t>
                  </w:r>
                  <w:r w:rsidRPr="001B787D">
                    <w:rPr>
                      <w:rFonts w:ascii="Arial" w:eastAsia="Times New Roman" w:hAnsi="Arial" w:cs="Arial"/>
                      <w:color w:val="000000"/>
                      <w:sz w:val="27"/>
                      <w:szCs w:val="27"/>
                    </w:rPr>
                    <w:lastRenderedPageBreak/>
                    <w:t>why, and they’d say, because it’s everywhere, and because it’s so much a part of what people do.</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Do you have a fair degree of autonomy in terms of what you decide to study?</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SM: Yes. I have a fair degree of autonomy to write grant proposals that don’t get funded. So I’m autonomously able to fail and not have work. Certainly, I write grant proposals all the time that only I care about. I have one right now that I really want to get funded, and I put it through twice, and nobody gives a shit about it but me. I want to do a study of overdose. Overdose has always really fascinated me. But they don’t like the way I designed the study, and my colleagues at my institute are like, “Nobody cares about this, Sheigla, cut it out.” I talk about what I am thinking about writing a grant proposal about and get advice from a whole group of colleagues, who say… “You should do this or you should do that.” But no. I mean, you want to write a grant proposal at my institute? Go ahead honey….</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b/>
                      <w:bCs/>
                      <w:color w:val="000000"/>
                      <w:sz w:val="27"/>
                      <w:szCs w:val="27"/>
                    </w:rPr>
                    <w:t>NC: So how many proposals do you write in a given period?</w:t>
                  </w:r>
                </w:p>
                <w:p w:rsidR="001B787D" w:rsidRPr="001B787D" w:rsidRDefault="001B787D" w:rsidP="001B787D">
                  <w:pPr>
                    <w:spacing w:after="0" w:line="240" w:lineRule="auto"/>
                    <w:rPr>
                      <w:rFonts w:ascii="Arial" w:eastAsia="Times New Roman" w:hAnsi="Arial" w:cs="Arial"/>
                      <w:color w:val="000000"/>
                      <w:sz w:val="18"/>
                      <w:szCs w:val="18"/>
                    </w:rPr>
                  </w:pPr>
                  <w:r w:rsidRPr="001B787D">
                    <w:rPr>
                      <w:rFonts w:ascii="Arial" w:eastAsia="Times New Roman" w:hAnsi="Arial" w:cs="Arial"/>
                      <w:color w:val="000000"/>
                      <w:sz w:val="27"/>
                      <w:szCs w:val="27"/>
                    </w:rPr>
                    <w:t>SM: Well, there’s write and re-write and re-write. Last year I probably wrote one new proposal and re-wrote two. Of course, re-writing is way worse because you’re responding to critiques, and you’re going, “Why didn’t I think of that?” This year I probably won’t have to write a proposal, because I have funding for a couple of years. I have no salary. I’m a research bum or hustler, as somebody recently called me – “You’re a research hustler.” I don’t have any academic seniority, which is either brave or stupid, I don’t know which. Last year I was actually only half employed, which means that I worked full-time, but got paid half-time, because I only wanted to have one grant. I didn’t want to have more than one grant. You find yourself doing much more administration and having much less time to write. But you know, I learned my lesson. I do like to eat full-time and pay my mortgage full-time.</w:t>
                  </w:r>
                  <w:r w:rsidRPr="001B787D">
                    <w:rPr>
                      <w:rFonts w:ascii="Arial" w:eastAsia="Times New Roman" w:hAnsi="Arial" w:cs="Arial"/>
                      <w:color w:val="000000"/>
                      <w:sz w:val="18"/>
                      <w:szCs w:val="18"/>
                    </w:rPr>
                    <w:t> </w:t>
                  </w:r>
                </w:p>
              </w:tc>
            </w:tr>
          </w:tbl>
          <w:p w:rsidR="001B787D" w:rsidRPr="001B787D" w:rsidRDefault="001B787D" w:rsidP="001B787D">
            <w:pPr>
              <w:spacing w:after="0" w:line="240" w:lineRule="auto"/>
              <w:rPr>
                <w:rFonts w:ascii="Arial" w:eastAsia="Times New Roman" w:hAnsi="Arial" w:cs="Arial"/>
                <w:color w:val="000000"/>
                <w:sz w:val="18"/>
                <w:szCs w:val="18"/>
              </w:rPr>
            </w:pPr>
          </w:p>
        </w:tc>
      </w:tr>
    </w:tbl>
    <w:p w:rsidR="001B787D" w:rsidRDefault="001B787D">
      <w:bookmarkStart w:id="0" w:name="_GoBack"/>
      <w:bookmarkEnd w:id="0"/>
    </w:p>
    <w:sectPr w:rsidR="001B78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87D"/>
    <w:rsid w:val="001B787D"/>
    <w:rsid w:val="00620F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2126C"/>
  <w15:chartTrackingRefBased/>
  <w15:docId w15:val="{1CAF54E3-C382-4A70-B3D7-B4B23EB18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B787D"/>
    <w:rPr>
      <w:color w:val="0000FF"/>
      <w:u w:val="single"/>
    </w:rPr>
  </w:style>
  <w:style w:type="character" w:customStyle="1" w:styleId="dataaccessalternatetext">
    <w:name w:val="dataaccessalternatetext"/>
    <w:basedOn w:val="DefaultParagraphFont"/>
    <w:rsid w:val="001B787D"/>
  </w:style>
  <w:style w:type="character" w:styleId="Strong">
    <w:name w:val="Strong"/>
    <w:basedOn w:val="DefaultParagraphFont"/>
    <w:uiPriority w:val="22"/>
    <w:qFormat/>
    <w:rsid w:val="001B78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5924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kathcleo\AppData\Local\Box\Box%20Edit\Documents\C2MKOWCpNEa1p+f8ZkFFEg==\oral_history_interviews%26findAll%3dtrue%26mode%3dsingle%26recordID%3d000000000000000000000000000000000000000002252707.htm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file:///C:\Users\kathcleo\AppData\Local\Box\Box%20Edit\Documents\C2MKOWCpNEa1p+f8ZkFFEg==\oral_history_interviews%26findAll%3dtrue%26mode%3dsingle%26recordID%3d000000000000000000000000000000000000000002542076.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kathcleo\AppData\Local\Box\Box%20Edit\Documents\C2MKOWCpNEa1p+f8ZkFFEg==\oral_history_interviews%26mode%3dsearch%26recordID%3d000000000000000000000000000000000000000002542076.html" TargetMode="External"/><Relationship Id="rId11" Type="http://schemas.openxmlformats.org/officeDocument/2006/relationships/hyperlink" Target="file:///C:\Users\kathcleo\AppData\Local\Box\Box%20Edit\Documents\C2MKOWCpNEa1p+f8ZkFFEg==\oral_history_interviews%26findAll%3dtrue%26mode%3dsingle%26recordID%3d000000000000000000000000000000000000000002800535.html" TargetMode="External"/><Relationship Id="rId5" Type="http://schemas.openxmlformats.org/officeDocument/2006/relationships/hyperlink" Target="file:///C:\Users\kathcleo\AppData\Local\Box\Box%20Edit\Documents\C2MKOWCpNEa1p+f8ZkFFEg==\oral_history_interviews%26findAll%3dtrue%26mode%3dlist%26recordID%3d000000000000000000000000000000000000000002542076.html" TargetMode="External"/><Relationship Id="rId10" Type="http://schemas.openxmlformats.org/officeDocument/2006/relationships/hyperlink" Target="file:///C:\Users\kathcleo\AppData\Local\Box\Box%20Edit\Documents\C2MKOWCpNEa1p+f8ZkFFEg==\oral_history_interviews%26findAll%3dtrue%26mode%3dsingle%26recordID%3d000000000000000000000000000000000000000002465009.html" TargetMode="External"/><Relationship Id="rId4" Type="http://schemas.openxmlformats.org/officeDocument/2006/relationships/hyperlink" Target="file:///C:\Users\kathcleo\AppData\Local\Box\Box%20Edit\Documents\C2MKOWCpNEa1p+f8ZkFFEg==\oral_history_interviews_findAll_true_mode_single_recordID_000000000000000000000000000000000000000002542076.html" TargetMode="External"/><Relationship Id="rId9" Type="http://schemas.openxmlformats.org/officeDocument/2006/relationships/hyperlink" Target="file:///C:\Users\kathcleo\AppData\Local\Box\Box%20Edit\Documents\C2MKOWCpNEa1p+f8ZkFFEg==\oral_history_interviews%26findAll%3dtrue%26mode%3dsingle%26recordID%3d00000000000000000000000000000000000000000264401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8829</Words>
  <Characters>50329</Characters>
  <Application>Microsoft Office Word</Application>
  <DocSecurity>0</DocSecurity>
  <Lines>419</Lines>
  <Paragraphs>118</Paragraphs>
  <ScaleCrop>false</ScaleCrop>
  <Company>University of Michigan</Company>
  <LinksUpToDate>false</LinksUpToDate>
  <CharactersWithSpaces>59040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Leary, Katherine</dc:creator>
  <cp:keywords/>
  <dc:description/>
  <cp:lastModifiedBy>Leary, Katherine</cp:lastModifiedBy>
  <cp:revision>1</cp:revision>
  <dcterms:created xsi:type="dcterms:W3CDTF">2019-10-25T15:28:00Z</dcterms:created>
  <dcterms:modified xsi:type="dcterms:W3CDTF">2019-10-25T15:29:00Z</dcterms:modified>
</cp:coreProperties>
</file>