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B4AEB0" w14:textId="77777777" w:rsidR="009A583F" w:rsidRDefault="00E24A86">
      <w:pPr>
        <w:pBdr>
          <w:bottom w:val="single" w:sz="4" w:space="1" w:color="000000"/>
        </w:pBdr>
        <w:rPr>
          <w:rFonts w:ascii="Garamond" w:eastAsia="Garamond" w:hAnsi="Garamond" w:cs="Garamond"/>
          <w:color w:val="404040"/>
          <w:sz w:val="36"/>
          <w:szCs w:val="36"/>
        </w:rPr>
      </w:pPr>
      <w:r>
        <w:rPr>
          <w:noProof/>
        </w:rPr>
        <w:drawing>
          <wp:anchor distT="0" distB="0" distL="114300" distR="114300" simplePos="0" relativeHeight="251658240" behindDoc="0" locked="0" layoutInCell="1" hidden="0" allowOverlap="1" wp14:anchorId="5739C107" wp14:editId="5DAF027B">
            <wp:simplePos x="0" y="0"/>
            <wp:positionH relativeFrom="column">
              <wp:posOffset>3665220</wp:posOffset>
            </wp:positionH>
            <wp:positionV relativeFrom="paragraph">
              <wp:posOffset>0</wp:posOffset>
            </wp:positionV>
            <wp:extent cx="2526665" cy="3530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26665" cy="353060"/>
                    </a:xfrm>
                    <a:prstGeom prst="rect">
                      <a:avLst/>
                    </a:prstGeom>
                    <a:ln/>
                  </pic:spPr>
                </pic:pic>
              </a:graphicData>
            </a:graphic>
          </wp:anchor>
        </w:drawing>
      </w:r>
    </w:p>
    <w:p w14:paraId="529E940A" w14:textId="77777777" w:rsidR="009A583F" w:rsidRDefault="009A583F">
      <w:pPr>
        <w:pBdr>
          <w:bottom w:val="single" w:sz="4" w:space="1" w:color="000000"/>
        </w:pBdr>
        <w:rPr>
          <w:rFonts w:ascii="Garamond" w:eastAsia="Garamond" w:hAnsi="Garamond" w:cs="Garamond"/>
          <w:color w:val="404040"/>
          <w:sz w:val="36"/>
          <w:szCs w:val="36"/>
        </w:rPr>
      </w:pPr>
    </w:p>
    <w:p w14:paraId="28A23873" w14:textId="77777777" w:rsidR="009A583F" w:rsidRDefault="00E24A86">
      <w:pPr>
        <w:pBdr>
          <w:bottom w:val="single" w:sz="4" w:space="1" w:color="000000"/>
        </w:pBdr>
        <w:rPr>
          <w:rFonts w:ascii="Garamond" w:eastAsia="Garamond" w:hAnsi="Garamond" w:cs="Garamond"/>
          <w:color w:val="404040"/>
          <w:sz w:val="36"/>
          <w:szCs w:val="36"/>
        </w:rPr>
      </w:pPr>
      <w:r>
        <w:rPr>
          <w:rFonts w:ascii="Garamond" w:eastAsia="Garamond" w:hAnsi="Garamond" w:cs="Garamond"/>
          <w:color w:val="404040"/>
          <w:sz w:val="36"/>
          <w:szCs w:val="36"/>
        </w:rPr>
        <w:t>Capstone for Impact Submission | GY2021</w:t>
      </w:r>
    </w:p>
    <w:p w14:paraId="725C4E12" w14:textId="77777777" w:rsidR="009A583F" w:rsidRDefault="009A583F">
      <w:pPr>
        <w:rPr>
          <w:rFonts w:ascii="Garamond" w:eastAsia="Garamond" w:hAnsi="Garamond" w:cs="Garamond"/>
          <w:color w:val="404040"/>
          <w:sz w:val="36"/>
          <w:szCs w:val="36"/>
        </w:rPr>
      </w:pPr>
    </w:p>
    <w:p w14:paraId="5A2BEE84" w14:textId="25DA603F" w:rsidR="009A583F" w:rsidRPr="00B9123D" w:rsidRDefault="00E24A86">
      <w:pPr>
        <w:rPr>
          <w:rFonts w:ascii="Garamond" w:eastAsia="Garamond" w:hAnsi="Garamond" w:cs="Garamond"/>
          <w:color w:val="404040"/>
        </w:rPr>
      </w:pPr>
      <w:r>
        <w:rPr>
          <w:rFonts w:ascii="Garamond" w:eastAsia="Garamond" w:hAnsi="Garamond" w:cs="Garamond"/>
          <w:b/>
          <w:color w:val="404040"/>
        </w:rPr>
        <w:t>Project Title:</w:t>
      </w:r>
      <w:r>
        <w:rPr>
          <w:rFonts w:ascii="Garamond" w:eastAsia="Garamond" w:hAnsi="Garamond" w:cs="Garamond"/>
          <w:color w:val="404040"/>
        </w:rPr>
        <w:t xml:space="preserve"> </w:t>
      </w:r>
      <w:r w:rsidR="00B9123D">
        <w:rPr>
          <w:rFonts w:ascii="Garamond" w:eastAsia="Garamond" w:hAnsi="Garamond" w:cs="Garamond"/>
          <w:color w:val="404040"/>
        </w:rPr>
        <w:softHyphen/>
      </w:r>
      <w:r w:rsidR="00B9123D" w:rsidRPr="00B9123D">
        <w:rPr>
          <w:rFonts w:ascii="Garamond" w:eastAsia="Garamond" w:hAnsi="Garamond" w:cs="Garamond"/>
          <w:color w:val="404040"/>
        </w:rPr>
        <w:t>Challenges to Professional Interpreter Use Among Surgical Providers</w:t>
      </w:r>
    </w:p>
    <w:p w14:paraId="626A2008" w14:textId="1E6B01F1" w:rsidR="009A583F" w:rsidRDefault="00E24A86">
      <w:pPr>
        <w:rPr>
          <w:rFonts w:ascii="Garamond" w:eastAsia="Garamond" w:hAnsi="Garamond" w:cs="Garamond"/>
          <w:b/>
          <w:color w:val="404040"/>
        </w:rPr>
      </w:pPr>
      <w:r>
        <w:rPr>
          <w:rFonts w:ascii="Garamond" w:eastAsia="Garamond" w:hAnsi="Garamond" w:cs="Garamond"/>
          <w:b/>
          <w:color w:val="404040"/>
        </w:rPr>
        <w:t>Student Name(s):</w:t>
      </w:r>
      <w:r>
        <w:rPr>
          <w:rFonts w:ascii="Garamond" w:eastAsia="Garamond" w:hAnsi="Garamond" w:cs="Garamond"/>
          <w:color w:val="404040"/>
        </w:rPr>
        <w:t xml:space="preserve"> </w:t>
      </w:r>
      <w:r w:rsidR="00B9123D">
        <w:rPr>
          <w:rFonts w:ascii="Garamond" w:eastAsia="Garamond" w:hAnsi="Garamond" w:cs="Garamond"/>
          <w:color w:val="404040"/>
        </w:rPr>
        <w:t>Paris D. Rollins</w:t>
      </w:r>
    </w:p>
    <w:p w14:paraId="1C5BCA32" w14:textId="70AF28BD" w:rsidR="009A583F" w:rsidRDefault="00E24A86">
      <w:pPr>
        <w:rPr>
          <w:rFonts w:ascii="Garamond" w:eastAsia="Garamond" w:hAnsi="Garamond" w:cs="Garamond"/>
          <w:i/>
          <w:color w:val="404040"/>
        </w:rPr>
      </w:pPr>
      <w:r>
        <w:rPr>
          <w:rFonts w:ascii="Garamond" w:eastAsia="Garamond" w:hAnsi="Garamond" w:cs="Garamond"/>
          <w:b/>
          <w:color w:val="404040"/>
        </w:rPr>
        <w:t>Advisor Names(s):</w:t>
      </w:r>
      <w:r>
        <w:rPr>
          <w:rFonts w:ascii="Garamond" w:eastAsia="Garamond" w:hAnsi="Garamond" w:cs="Garamond"/>
          <w:color w:val="404040"/>
        </w:rPr>
        <w:t xml:space="preserve"> </w:t>
      </w:r>
      <w:proofErr w:type="spellStart"/>
      <w:r w:rsidR="00B9123D">
        <w:rPr>
          <w:rFonts w:ascii="Garamond" w:eastAsia="Garamond" w:hAnsi="Garamond" w:cs="Garamond"/>
          <w:color w:val="404040"/>
        </w:rPr>
        <w:t>Rishindra</w:t>
      </w:r>
      <w:proofErr w:type="spellEnd"/>
      <w:r w:rsidR="00B9123D">
        <w:rPr>
          <w:rFonts w:ascii="Garamond" w:eastAsia="Garamond" w:hAnsi="Garamond" w:cs="Garamond"/>
          <w:color w:val="404040"/>
        </w:rPr>
        <w:t xml:space="preserve"> Reddy, MD</w:t>
      </w:r>
    </w:p>
    <w:p w14:paraId="08689A3D" w14:textId="4EEF2427" w:rsidR="009A583F" w:rsidRPr="00B9123D" w:rsidRDefault="00E24A86">
      <w:pPr>
        <w:spacing w:after="0"/>
        <w:rPr>
          <w:rFonts w:ascii="Garamond" w:eastAsia="Garamond" w:hAnsi="Garamond" w:cs="Garamond"/>
          <w:bCs/>
          <w:color w:val="404040"/>
          <w:highlight w:val="yellow"/>
        </w:rPr>
      </w:pPr>
      <w:r>
        <w:rPr>
          <w:rFonts w:ascii="Garamond" w:eastAsia="Garamond" w:hAnsi="Garamond" w:cs="Garamond"/>
          <w:b/>
          <w:color w:val="404040"/>
          <w:highlight w:val="yellow"/>
        </w:rPr>
        <w:t>If this project can be continued by another UMMS student, please include your contact information or any other details you would like to share here:</w:t>
      </w:r>
    </w:p>
    <w:p w14:paraId="445EE7BF" w14:textId="07ED765D" w:rsidR="00B9123D" w:rsidRDefault="00B9123D">
      <w:pPr>
        <w:pBdr>
          <w:bottom w:val="single" w:sz="4" w:space="1" w:color="000000"/>
        </w:pBdr>
        <w:rPr>
          <w:rFonts w:ascii="Garamond" w:eastAsia="Garamond" w:hAnsi="Garamond" w:cs="Garamond"/>
          <w:color w:val="404040"/>
        </w:rPr>
      </w:pPr>
      <w:r>
        <w:rPr>
          <w:rFonts w:ascii="Garamond" w:eastAsia="Garamond" w:hAnsi="Garamond" w:cs="Garamond"/>
          <w:color w:val="404040"/>
        </w:rPr>
        <w:t>Phone: 808-271-7516</w:t>
      </w:r>
    </w:p>
    <w:p w14:paraId="6880F304" w14:textId="77777777" w:rsidR="009A583F" w:rsidRDefault="00E24A86">
      <w:pPr>
        <w:rPr>
          <w:rFonts w:ascii="Garamond" w:eastAsia="Garamond" w:hAnsi="Garamond" w:cs="Garamond"/>
          <w:b/>
          <w:color w:val="404040"/>
        </w:rPr>
      </w:pPr>
      <w:r>
        <w:rPr>
          <w:rFonts w:ascii="Garamond" w:eastAsia="Garamond" w:hAnsi="Garamond" w:cs="Garamond"/>
          <w:b/>
          <w:color w:val="404040"/>
        </w:rPr>
        <w:t>Summary (~250-500 words):</w:t>
      </w:r>
    </w:p>
    <w:p w14:paraId="698BD2C7" w14:textId="7C23E595" w:rsidR="005B1956" w:rsidRPr="005B1956" w:rsidRDefault="005B1956" w:rsidP="005B1956">
      <w:pPr>
        <w:ind w:firstLine="720"/>
        <w:rPr>
          <w:rFonts w:ascii="Garamond" w:eastAsia="Garamond" w:hAnsi="Garamond" w:cs="Garamond"/>
          <w:bCs/>
          <w:color w:val="404040"/>
        </w:rPr>
      </w:pPr>
      <w:r w:rsidRPr="005B1956">
        <w:rPr>
          <w:rFonts w:ascii="Garamond" w:eastAsia="Garamond" w:hAnsi="Garamond" w:cs="Garamond"/>
          <w:bCs/>
          <w:color w:val="404040"/>
        </w:rPr>
        <w:t>Physician-patient communication matters. Effective communication has a positive impact on health outcomes directly, by allowing clear transmission of health information, and indirectly, by increasing patient satisfaction and adherence to treatment regimens.1 This issue is so critical, in fact, that many medical schools now begin teaching patient communication early in the pre-clinical years, and students are frequently re-evaluated as their medical education progresses.</w:t>
      </w:r>
      <w:r w:rsidR="009A0D72">
        <w:rPr>
          <w:rFonts w:ascii="Garamond" w:eastAsia="Garamond" w:hAnsi="Garamond" w:cs="Garamond"/>
          <w:bCs/>
          <w:color w:val="404040"/>
        </w:rPr>
        <w:t xml:space="preserve"> </w:t>
      </w:r>
      <w:r w:rsidRPr="005B1956">
        <w:rPr>
          <w:rFonts w:ascii="Garamond" w:eastAsia="Garamond" w:hAnsi="Garamond" w:cs="Garamond"/>
          <w:bCs/>
          <w:color w:val="404040"/>
        </w:rPr>
        <w:t xml:space="preserve">2,3 This emphasis on communication is logical, since communication permeates every aspect of clinical medicine. Surgeons, who have historically been viewed as poor communicators, teach patients conceptual information that help them understand their diagnoses and ensure that patients understand the purpose, risks, benefits, and alternatives for surgeries in order to ethically and legally obtain informed consent. Poor communication in any of these domains can have significant consequences.   </w:t>
      </w:r>
    </w:p>
    <w:p w14:paraId="1B36421E" w14:textId="18997698" w:rsidR="005B1956" w:rsidRPr="005B1956" w:rsidRDefault="005B1956" w:rsidP="005B1956">
      <w:pPr>
        <w:rPr>
          <w:rFonts w:ascii="Garamond" w:eastAsia="Garamond" w:hAnsi="Garamond" w:cs="Garamond"/>
          <w:bCs/>
          <w:color w:val="404040"/>
        </w:rPr>
      </w:pPr>
      <w:r w:rsidRPr="005B1956">
        <w:rPr>
          <w:rFonts w:ascii="Garamond" w:eastAsia="Garamond" w:hAnsi="Garamond" w:cs="Garamond"/>
          <w:bCs/>
          <w:color w:val="404040"/>
        </w:rPr>
        <w:t xml:space="preserve">Patients with communication concerns are at a decided disadvantage when navigating the healthcare system. One such group is the limited English proficiency (LEP) community—that is, individuals who do not speak English as their primary language and who have a limited ability to read, write, speak, or understand English. LEP individuals represent almost 9% of the US population—roughly 25 million people.4 As patients, they occupy a critical intersection between physician-patient communication errors and health disparities. On the whole, LEP patients have higher infection rates, more drug complications, and low health literacy.5,6 They have longer lengths of hospitalization and higher readmission rates.7,8,9 They have poorer understanding of their diagnoses and are less satisfied with their healthcare than their English-speaking counterparts.5,6 </w:t>
      </w:r>
    </w:p>
    <w:p w14:paraId="05C65B81" w14:textId="77777777" w:rsidR="005B1956" w:rsidRDefault="005B1956" w:rsidP="005B1956">
      <w:pPr>
        <w:rPr>
          <w:rFonts w:ascii="Garamond" w:eastAsia="Garamond" w:hAnsi="Garamond" w:cs="Garamond"/>
          <w:bCs/>
          <w:color w:val="404040"/>
        </w:rPr>
      </w:pPr>
      <w:r w:rsidRPr="005B1956">
        <w:rPr>
          <w:rFonts w:ascii="Garamond" w:eastAsia="Garamond" w:hAnsi="Garamond" w:cs="Garamond"/>
          <w:bCs/>
          <w:color w:val="404040"/>
        </w:rPr>
        <w:t xml:space="preserve">Medical interpreters are a key component of effective communication and must legally be provided to LEP patients under Title VI of the Civil Rights Act.10 However, interpreter services are not federally funded and are variably reimbursed by insurance companies, leading to their inconsistent availability across care settings.11 Most large health systems have access to interpreters through a combination of in-person, phone, and video services; yet interpreter use is not 100% even under these circumstances.12 We feel that effective communication is critical perioperatively, especially in the informed consent process and at time of discharge, when post-operative instructions must be understood (Patel, J Lee, </w:t>
      </w:r>
      <w:proofErr w:type="spellStart"/>
      <w:r w:rsidRPr="005B1956">
        <w:rPr>
          <w:rFonts w:ascii="Garamond" w:eastAsia="Garamond" w:hAnsi="Garamond" w:cs="Garamond"/>
          <w:bCs/>
          <w:color w:val="404040"/>
        </w:rPr>
        <w:t>Karliner</w:t>
      </w:r>
      <w:proofErr w:type="spellEnd"/>
      <w:r w:rsidRPr="005B1956">
        <w:rPr>
          <w:rFonts w:ascii="Garamond" w:eastAsia="Garamond" w:hAnsi="Garamond" w:cs="Garamond"/>
          <w:bCs/>
          <w:color w:val="404040"/>
        </w:rPr>
        <w:t>, Hunt).6,13,14,15 Inadequate interpreter use creates another form of health disparities for patients who are already at risk for worse care.</w:t>
      </w:r>
    </w:p>
    <w:p w14:paraId="44186533" w14:textId="6F463EBB" w:rsidR="0056019A" w:rsidRPr="0056019A" w:rsidRDefault="009A0D72" w:rsidP="005B1956">
      <w:pPr>
        <w:rPr>
          <w:rFonts w:ascii="Garamond" w:eastAsia="Garamond" w:hAnsi="Garamond" w:cs="Garamond"/>
          <w:bCs/>
          <w:color w:val="404040"/>
        </w:rPr>
      </w:pPr>
      <w:r>
        <w:rPr>
          <w:rFonts w:ascii="Garamond" w:eastAsia="Garamond" w:hAnsi="Garamond" w:cs="Garamond"/>
          <w:bCs/>
          <w:color w:val="404040"/>
        </w:rPr>
        <w:t>While m</w:t>
      </w:r>
      <w:r w:rsidR="0056019A" w:rsidRPr="0056019A">
        <w:rPr>
          <w:rFonts w:ascii="Garamond" w:eastAsia="Garamond" w:hAnsi="Garamond" w:cs="Garamond"/>
          <w:bCs/>
          <w:color w:val="404040"/>
        </w:rPr>
        <w:t>edical interpreters help ensure accurate understanding of informed consent, perioperative management, and discharge instruction</w:t>
      </w:r>
      <w:r>
        <w:rPr>
          <w:rFonts w:ascii="Garamond" w:eastAsia="Garamond" w:hAnsi="Garamond" w:cs="Garamond"/>
          <w:bCs/>
          <w:color w:val="404040"/>
        </w:rPr>
        <w:t>s</w:t>
      </w:r>
      <w:r w:rsidR="0056019A" w:rsidRPr="0056019A">
        <w:rPr>
          <w:rFonts w:ascii="Garamond" w:eastAsia="Garamond" w:hAnsi="Garamond" w:cs="Garamond"/>
          <w:bCs/>
          <w:color w:val="404040"/>
        </w:rPr>
        <w:t xml:space="preserve">, they are frequently underutilized even when available. </w:t>
      </w:r>
      <w:r w:rsidR="009812A1">
        <w:rPr>
          <w:rFonts w:ascii="Garamond" w:eastAsia="Garamond" w:hAnsi="Garamond" w:cs="Garamond"/>
          <w:bCs/>
          <w:color w:val="404040"/>
        </w:rPr>
        <w:t>In this study, w</w:t>
      </w:r>
      <w:r w:rsidR="0056019A" w:rsidRPr="0056019A">
        <w:rPr>
          <w:rFonts w:ascii="Garamond" w:eastAsia="Garamond" w:hAnsi="Garamond" w:cs="Garamond"/>
          <w:bCs/>
          <w:color w:val="404040"/>
        </w:rPr>
        <w:t xml:space="preserve">e hypothesized that more senior physicians </w:t>
      </w:r>
      <w:r w:rsidR="00A8534A">
        <w:rPr>
          <w:rFonts w:ascii="Garamond" w:eastAsia="Garamond" w:hAnsi="Garamond" w:cs="Garamond"/>
          <w:bCs/>
          <w:color w:val="404040"/>
        </w:rPr>
        <w:t>and</w:t>
      </w:r>
      <w:r w:rsidR="0056019A" w:rsidRPr="0056019A">
        <w:rPr>
          <w:rFonts w:ascii="Garamond" w:eastAsia="Garamond" w:hAnsi="Garamond" w:cs="Garamond"/>
          <w:bCs/>
          <w:color w:val="404040"/>
        </w:rPr>
        <w:t xml:space="preserve"> those with greater foreign language exposure would use interpreter services more consistently. </w:t>
      </w:r>
    </w:p>
    <w:p w14:paraId="7EE5DC0E" w14:textId="77777777" w:rsidR="009A583F" w:rsidRDefault="00E24A86">
      <w:pPr>
        <w:rPr>
          <w:rFonts w:ascii="Garamond" w:eastAsia="Garamond" w:hAnsi="Garamond" w:cs="Garamond"/>
          <w:b/>
          <w:color w:val="404040"/>
        </w:rPr>
      </w:pPr>
      <w:r>
        <w:rPr>
          <w:rFonts w:ascii="Garamond" w:eastAsia="Garamond" w:hAnsi="Garamond" w:cs="Garamond"/>
          <w:b/>
          <w:color w:val="404040"/>
        </w:rPr>
        <w:lastRenderedPageBreak/>
        <w:t xml:space="preserve">Methodology: </w:t>
      </w:r>
    </w:p>
    <w:p w14:paraId="53381399" w14:textId="382C176C" w:rsidR="009A583F" w:rsidRPr="0056019A" w:rsidRDefault="0056019A">
      <w:pPr>
        <w:rPr>
          <w:rFonts w:ascii="Garamond" w:eastAsia="Garamond" w:hAnsi="Garamond" w:cs="Garamond"/>
          <w:bCs/>
          <w:color w:val="404040"/>
        </w:rPr>
      </w:pPr>
      <w:r w:rsidRPr="0056019A">
        <w:rPr>
          <w:rFonts w:ascii="Garamond" w:eastAsia="Garamond" w:hAnsi="Garamond" w:cs="Garamond"/>
          <w:bCs/>
          <w:color w:val="404040"/>
        </w:rPr>
        <w:t>We conducted a survey of surgeons (trainees and faculty) from a single academic hospital. Participants were surveyed on their proficiency in languages, their annual need/use of medical interpreters, and barriers, if any, to using interpreters. Data were analyzed using Excel and SPSS.</w:t>
      </w:r>
    </w:p>
    <w:p w14:paraId="2954C101" w14:textId="77777777" w:rsidR="009A583F" w:rsidRDefault="00E24A86">
      <w:pPr>
        <w:rPr>
          <w:rFonts w:ascii="Garamond" w:eastAsia="Garamond" w:hAnsi="Garamond" w:cs="Garamond"/>
          <w:b/>
          <w:color w:val="404040"/>
        </w:rPr>
      </w:pPr>
      <w:r>
        <w:rPr>
          <w:rFonts w:ascii="Garamond" w:eastAsia="Garamond" w:hAnsi="Garamond" w:cs="Garamond"/>
          <w:b/>
          <w:color w:val="404040"/>
        </w:rPr>
        <w:t>Results:</w:t>
      </w:r>
    </w:p>
    <w:p w14:paraId="337D16D6" w14:textId="5C32EAD7" w:rsidR="009A583F" w:rsidRPr="0056019A" w:rsidRDefault="0056019A">
      <w:pPr>
        <w:rPr>
          <w:rFonts w:ascii="Garamond" w:eastAsia="Garamond" w:hAnsi="Garamond" w:cs="Garamond"/>
          <w:bCs/>
          <w:color w:val="404040"/>
        </w:rPr>
      </w:pPr>
      <w:r w:rsidRPr="0056019A">
        <w:rPr>
          <w:rFonts w:ascii="Garamond" w:eastAsia="Garamond" w:hAnsi="Garamond" w:cs="Garamond"/>
          <w:bCs/>
          <w:color w:val="404040"/>
        </w:rPr>
        <w:t xml:space="preserve">The response rate was </w:t>
      </w:r>
      <w:r>
        <w:rPr>
          <w:rFonts w:ascii="Garamond" w:eastAsia="Garamond" w:hAnsi="Garamond" w:cs="Garamond"/>
          <w:bCs/>
          <w:color w:val="404040"/>
        </w:rPr>
        <w:t>14.4</w:t>
      </w:r>
      <w:r w:rsidRPr="0056019A">
        <w:rPr>
          <w:rFonts w:ascii="Garamond" w:eastAsia="Garamond" w:hAnsi="Garamond" w:cs="Garamond"/>
          <w:bCs/>
          <w:color w:val="404040"/>
        </w:rPr>
        <w:t>% (</w:t>
      </w:r>
      <w:r>
        <w:rPr>
          <w:rFonts w:ascii="Garamond" w:eastAsia="Garamond" w:hAnsi="Garamond" w:cs="Garamond"/>
          <w:bCs/>
          <w:color w:val="404040"/>
        </w:rPr>
        <w:t>109</w:t>
      </w:r>
      <w:r w:rsidRPr="0056019A">
        <w:rPr>
          <w:rFonts w:ascii="Garamond" w:eastAsia="Garamond" w:hAnsi="Garamond" w:cs="Garamond"/>
          <w:bCs/>
          <w:color w:val="404040"/>
        </w:rPr>
        <w:t>/755), with 5</w:t>
      </w:r>
      <w:r>
        <w:rPr>
          <w:rFonts w:ascii="Garamond" w:eastAsia="Garamond" w:hAnsi="Garamond" w:cs="Garamond"/>
          <w:bCs/>
          <w:color w:val="404040"/>
        </w:rPr>
        <w:t>5</w:t>
      </w:r>
      <w:r w:rsidRPr="0056019A">
        <w:rPr>
          <w:rFonts w:ascii="Garamond" w:eastAsia="Garamond" w:hAnsi="Garamond" w:cs="Garamond"/>
          <w:bCs/>
          <w:color w:val="404040"/>
        </w:rPr>
        <w:t xml:space="preserve">% being female, including </w:t>
      </w:r>
      <w:r w:rsidR="00BF2101">
        <w:rPr>
          <w:rFonts w:ascii="Garamond" w:eastAsia="Garamond" w:hAnsi="Garamond" w:cs="Garamond"/>
          <w:bCs/>
          <w:color w:val="404040"/>
        </w:rPr>
        <w:t>45</w:t>
      </w:r>
      <w:r w:rsidRPr="0056019A">
        <w:rPr>
          <w:rFonts w:ascii="Garamond" w:eastAsia="Garamond" w:hAnsi="Garamond" w:cs="Garamond"/>
          <w:bCs/>
          <w:color w:val="404040"/>
        </w:rPr>
        <w:t xml:space="preserve"> residents and </w:t>
      </w:r>
      <w:r w:rsidR="00BF2101">
        <w:rPr>
          <w:rFonts w:ascii="Garamond" w:eastAsia="Garamond" w:hAnsi="Garamond" w:cs="Garamond"/>
          <w:bCs/>
          <w:color w:val="404040"/>
        </w:rPr>
        <w:t>64</w:t>
      </w:r>
      <w:r w:rsidRPr="0056019A">
        <w:rPr>
          <w:rFonts w:ascii="Garamond" w:eastAsia="Garamond" w:hAnsi="Garamond" w:cs="Garamond"/>
          <w:bCs/>
          <w:color w:val="404040"/>
        </w:rPr>
        <w:t xml:space="preserve"> faculty (5</w:t>
      </w:r>
      <w:r w:rsidR="00B11BA1">
        <w:rPr>
          <w:rFonts w:ascii="Garamond" w:eastAsia="Garamond" w:hAnsi="Garamond" w:cs="Garamond"/>
          <w:bCs/>
          <w:color w:val="404040"/>
        </w:rPr>
        <w:t>9</w:t>
      </w:r>
      <w:r w:rsidRPr="0056019A">
        <w:rPr>
          <w:rFonts w:ascii="Garamond" w:eastAsia="Garamond" w:hAnsi="Garamond" w:cs="Garamond"/>
          <w:bCs/>
          <w:color w:val="404040"/>
        </w:rPr>
        <w:t xml:space="preserve">%). </w:t>
      </w:r>
      <w:r w:rsidR="008C27E8">
        <w:rPr>
          <w:rFonts w:ascii="Garamond" w:eastAsia="Garamond" w:hAnsi="Garamond" w:cs="Garamond"/>
          <w:bCs/>
          <w:color w:val="404040"/>
        </w:rPr>
        <w:t xml:space="preserve">41% of respondents spoke English only. </w:t>
      </w:r>
      <w:r w:rsidRPr="0056019A">
        <w:rPr>
          <w:rFonts w:ascii="Garamond" w:eastAsia="Garamond" w:hAnsi="Garamond" w:cs="Garamond"/>
          <w:bCs/>
          <w:color w:val="404040"/>
        </w:rPr>
        <w:t>Respondents interacted with LEP patients across a variety of inpatient and outpatient settings. Participants estimated a mean 16.33 annual encounters with LEP patients (SD 16.6). One-third of providers reported needing an interpreter more frequently than they actually used one, citing an average underutilization of eight encounters per year. There was a trend of faculty being more likely to use interpreter services consistently (p=0.0502). There was no correlation between proficiency in other languages and interpreter use</w:t>
      </w:r>
      <w:r w:rsidRPr="0056019A">
        <w:rPr>
          <w:rFonts w:ascii="Garamond" w:eastAsia="Garamond" w:hAnsi="Garamond" w:cs="Garamond"/>
          <w:bCs/>
          <w:color w:val="404040"/>
        </w:rPr>
        <w:t xml:space="preserve"> </w:t>
      </w:r>
      <w:r w:rsidRPr="0056019A">
        <w:rPr>
          <w:rFonts w:ascii="Garamond" w:eastAsia="Garamond" w:hAnsi="Garamond" w:cs="Garamond"/>
          <w:bCs/>
          <w:color w:val="404040"/>
        </w:rPr>
        <w:t>(p=0.26). Providers who underutilized interpreter services more commonly listed patient preference for an ad-hoc interpreter (</w:t>
      </w:r>
      <w:proofErr w:type="gramStart"/>
      <w:r w:rsidRPr="0056019A">
        <w:rPr>
          <w:rFonts w:ascii="Garamond" w:eastAsia="Garamond" w:hAnsi="Garamond" w:cs="Garamond"/>
          <w:bCs/>
          <w:color w:val="404040"/>
        </w:rPr>
        <w:t>i.e.</w:t>
      </w:r>
      <w:proofErr w:type="gramEnd"/>
      <w:r w:rsidRPr="0056019A">
        <w:rPr>
          <w:rFonts w:ascii="Garamond" w:eastAsia="Garamond" w:hAnsi="Garamond" w:cs="Garamond"/>
          <w:bCs/>
          <w:color w:val="404040"/>
        </w:rPr>
        <w:t xml:space="preserve"> family or friend) as a major reason for underutilizing hospital interpreter services. Overall, the most common barriers were the wait time for an available interpreter and provider preference to avoid using a phone or video interpreter if in-person services were unavailable.</w:t>
      </w:r>
    </w:p>
    <w:p w14:paraId="60E1D08E" w14:textId="77777777" w:rsidR="009A583F" w:rsidRDefault="00E24A86">
      <w:pPr>
        <w:rPr>
          <w:rFonts w:ascii="Garamond" w:eastAsia="Garamond" w:hAnsi="Garamond" w:cs="Garamond"/>
          <w:b/>
          <w:color w:val="404040"/>
        </w:rPr>
      </w:pPr>
      <w:r>
        <w:rPr>
          <w:rFonts w:ascii="Garamond" w:eastAsia="Garamond" w:hAnsi="Garamond" w:cs="Garamond"/>
          <w:b/>
          <w:color w:val="404040"/>
        </w:rPr>
        <w:t>Conclusion (~250-500 words):</w:t>
      </w:r>
    </w:p>
    <w:p w14:paraId="520AB5FF" w14:textId="11264BBA" w:rsidR="009A583F" w:rsidRPr="0056019A" w:rsidRDefault="0056019A" w:rsidP="0056019A">
      <w:pPr>
        <w:rPr>
          <w:rFonts w:ascii="Garamond" w:eastAsia="Garamond" w:hAnsi="Garamond" w:cs="Garamond"/>
          <w:bCs/>
          <w:color w:val="404040"/>
        </w:rPr>
      </w:pPr>
      <w:r w:rsidRPr="0056019A">
        <w:rPr>
          <w:rFonts w:ascii="Garamond" w:eastAsia="Garamond" w:hAnsi="Garamond" w:cs="Garamond"/>
          <w:bCs/>
          <w:color w:val="404040"/>
        </w:rPr>
        <w:t>One-third of surgical providers surveyed reported underutilization of interpreter services for their LEP patients despite acknowledging their benefit. Even among providers reporting adequate utilization, time constraints were commonly cited as a major deterrent. In addition, many defer to their patients’ preferences to have a family member or friend interpret. This may have an unintended</w:t>
      </w:r>
      <w:r w:rsidR="00252454">
        <w:rPr>
          <w:rFonts w:ascii="Garamond" w:eastAsia="Garamond" w:hAnsi="Garamond" w:cs="Garamond"/>
          <w:bCs/>
          <w:color w:val="404040"/>
        </w:rPr>
        <w:t xml:space="preserve"> </w:t>
      </w:r>
      <w:r w:rsidRPr="0056019A">
        <w:rPr>
          <w:rFonts w:ascii="Garamond" w:eastAsia="Garamond" w:hAnsi="Garamond" w:cs="Garamond"/>
          <w:bCs/>
          <w:color w:val="404040"/>
        </w:rPr>
        <w:t>effect on interpretation accuracy and legality, which could lead to clinically important ramifications for both patient comprehension and provider liability.</w:t>
      </w:r>
    </w:p>
    <w:p w14:paraId="7FF4CC61" w14:textId="77777777" w:rsidR="009A583F" w:rsidRDefault="00E24A86">
      <w:pPr>
        <w:rPr>
          <w:rFonts w:ascii="Garamond" w:eastAsia="Garamond" w:hAnsi="Garamond" w:cs="Garamond"/>
          <w:b/>
          <w:color w:val="404040"/>
        </w:rPr>
      </w:pPr>
      <w:bookmarkStart w:id="0" w:name="_heading=h.gjdgxs" w:colFirst="0" w:colLast="0"/>
      <w:bookmarkEnd w:id="0"/>
      <w:r>
        <w:rPr>
          <w:rFonts w:ascii="Garamond" w:eastAsia="Garamond" w:hAnsi="Garamond" w:cs="Garamond"/>
          <w:b/>
          <w:color w:val="404040"/>
        </w:rPr>
        <w:t>Reflection/Impact Statem</w:t>
      </w:r>
      <w:r>
        <w:rPr>
          <w:rFonts w:ascii="Garamond" w:eastAsia="Garamond" w:hAnsi="Garamond" w:cs="Garamond"/>
          <w:b/>
          <w:color w:val="404040"/>
        </w:rPr>
        <w:t>ent:</w:t>
      </w:r>
    </w:p>
    <w:p w14:paraId="6D518FC9" w14:textId="77777777" w:rsidR="009A583F" w:rsidRDefault="00E24A86">
      <w:pPr>
        <w:rPr>
          <w:rFonts w:ascii="Garamond" w:eastAsia="Garamond" w:hAnsi="Garamond" w:cs="Garamond"/>
          <w:i/>
          <w:color w:val="404040"/>
        </w:rPr>
      </w:pPr>
      <w:r>
        <w:rPr>
          <w:rFonts w:ascii="Garamond" w:eastAsia="Garamond" w:hAnsi="Garamond" w:cs="Garamond"/>
          <w:i/>
          <w:color w:val="404040"/>
        </w:rPr>
        <w:t>You may use the following questions to guide your reflection:</w:t>
      </w:r>
    </w:p>
    <w:p w14:paraId="6D05F73F" w14:textId="77777777" w:rsidR="009A583F" w:rsidRDefault="00E24A86">
      <w:pPr>
        <w:numPr>
          <w:ilvl w:val="0"/>
          <w:numId w:val="1"/>
        </w:numPr>
        <w:pBdr>
          <w:top w:val="nil"/>
          <w:left w:val="nil"/>
          <w:bottom w:val="nil"/>
          <w:right w:val="nil"/>
          <w:between w:val="nil"/>
        </w:pBdr>
        <w:spacing w:after="0"/>
        <w:rPr>
          <w:rFonts w:ascii="Garamond" w:eastAsia="Garamond" w:hAnsi="Garamond" w:cs="Garamond"/>
          <w:color w:val="404040"/>
        </w:rPr>
      </w:pPr>
      <w:r>
        <w:rPr>
          <w:rFonts w:ascii="Garamond" w:eastAsia="Garamond" w:hAnsi="Garamond" w:cs="Garamond"/>
          <w:color w:val="404040"/>
        </w:rPr>
        <w:t>How did the process of conducting this research confront any limitations of your prior thinking?</w:t>
      </w:r>
    </w:p>
    <w:p w14:paraId="18EB1504" w14:textId="77777777" w:rsidR="009A583F" w:rsidRDefault="00E24A86">
      <w:pPr>
        <w:numPr>
          <w:ilvl w:val="0"/>
          <w:numId w:val="1"/>
        </w:numPr>
        <w:pBdr>
          <w:top w:val="nil"/>
          <w:left w:val="nil"/>
          <w:bottom w:val="nil"/>
          <w:right w:val="nil"/>
          <w:between w:val="nil"/>
        </w:pBdr>
        <w:spacing w:after="0"/>
        <w:rPr>
          <w:rFonts w:ascii="Garamond" w:eastAsia="Garamond" w:hAnsi="Garamond" w:cs="Garamond"/>
          <w:color w:val="404040"/>
        </w:rPr>
      </w:pPr>
      <w:r>
        <w:rPr>
          <w:rFonts w:ascii="Garamond" w:eastAsia="Garamond" w:hAnsi="Garamond" w:cs="Garamond"/>
          <w:color w:val="404040"/>
        </w:rPr>
        <w:t>Who could potentially benefit from this CFI project over different timescales and how?</w:t>
      </w:r>
    </w:p>
    <w:p w14:paraId="0D91E7F0" w14:textId="77777777" w:rsidR="009A583F" w:rsidRDefault="00E24A86">
      <w:pPr>
        <w:numPr>
          <w:ilvl w:val="0"/>
          <w:numId w:val="1"/>
        </w:numPr>
        <w:pBdr>
          <w:top w:val="nil"/>
          <w:left w:val="nil"/>
          <w:bottom w:val="nil"/>
          <w:right w:val="nil"/>
          <w:between w:val="nil"/>
        </w:pBdr>
        <w:spacing w:after="0"/>
        <w:rPr>
          <w:rFonts w:ascii="Garamond" w:eastAsia="Garamond" w:hAnsi="Garamond" w:cs="Garamond"/>
          <w:color w:val="404040"/>
        </w:rPr>
      </w:pPr>
      <w:r>
        <w:rPr>
          <w:rFonts w:ascii="Garamond" w:eastAsia="Garamond" w:hAnsi="Garamond" w:cs="Garamond"/>
          <w:color w:val="404040"/>
        </w:rPr>
        <w:t>What actions will you take afterwards to continue the momentum of this p</w:t>
      </w:r>
      <w:r>
        <w:rPr>
          <w:rFonts w:ascii="Garamond" w:eastAsia="Garamond" w:hAnsi="Garamond" w:cs="Garamond"/>
          <w:color w:val="404040"/>
        </w:rPr>
        <w:t xml:space="preserve">roject, and </w:t>
      </w:r>
      <w:proofErr w:type="spellStart"/>
      <w:r>
        <w:rPr>
          <w:rFonts w:ascii="Garamond" w:eastAsia="Garamond" w:hAnsi="Garamond" w:cs="Garamond"/>
          <w:color w:val="404040"/>
        </w:rPr>
        <w:t>maximise</w:t>
      </w:r>
      <w:proofErr w:type="spellEnd"/>
      <w:r>
        <w:rPr>
          <w:rFonts w:ascii="Garamond" w:eastAsia="Garamond" w:hAnsi="Garamond" w:cs="Garamond"/>
          <w:color w:val="404040"/>
        </w:rPr>
        <w:t xml:space="preserve"> the likelihood of the identified benefits being achieved?</w:t>
      </w:r>
    </w:p>
    <w:p w14:paraId="49F75310" w14:textId="54F49C21" w:rsidR="002A3B56" w:rsidRPr="00E24A86" w:rsidRDefault="00E24A86" w:rsidP="002A3B56">
      <w:pPr>
        <w:numPr>
          <w:ilvl w:val="0"/>
          <w:numId w:val="1"/>
        </w:numPr>
        <w:pBdr>
          <w:top w:val="nil"/>
          <w:left w:val="nil"/>
          <w:bottom w:val="nil"/>
          <w:right w:val="nil"/>
          <w:between w:val="nil"/>
        </w:pBdr>
        <w:rPr>
          <w:rFonts w:ascii="Garamond" w:eastAsia="Garamond" w:hAnsi="Garamond" w:cs="Garamond"/>
          <w:color w:val="404040"/>
        </w:rPr>
      </w:pPr>
      <w:r>
        <w:rPr>
          <w:rFonts w:ascii="Garamond" w:eastAsia="Garamond" w:hAnsi="Garamond" w:cs="Garamond"/>
          <w:color w:val="404040"/>
        </w:rPr>
        <w:t xml:space="preserve">What advice would you give to another student </w:t>
      </w:r>
      <w:r>
        <w:rPr>
          <w:rFonts w:ascii="Garamond" w:eastAsia="Garamond" w:hAnsi="Garamond" w:cs="Garamond"/>
          <w:color w:val="404040"/>
        </w:rPr>
        <w:t>completing</w:t>
      </w:r>
      <w:r>
        <w:rPr>
          <w:rFonts w:ascii="Garamond" w:eastAsia="Garamond" w:hAnsi="Garamond" w:cs="Garamond"/>
          <w:color w:val="404040"/>
        </w:rPr>
        <w:t xml:space="preserve"> their CFI?</w:t>
      </w:r>
    </w:p>
    <w:p w14:paraId="4842B236" w14:textId="77777777" w:rsidR="00CC3A1E" w:rsidRDefault="00CC3A1E" w:rsidP="002A3B56">
      <w:pPr>
        <w:pBdr>
          <w:top w:val="nil"/>
          <w:left w:val="nil"/>
          <w:bottom w:val="nil"/>
          <w:right w:val="nil"/>
          <w:between w:val="nil"/>
        </w:pBdr>
        <w:rPr>
          <w:rFonts w:ascii="Garamond" w:eastAsia="Garamond" w:hAnsi="Garamond" w:cs="Garamond"/>
          <w:color w:val="404040"/>
        </w:rPr>
      </w:pPr>
      <w:r>
        <w:rPr>
          <w:rFonts w:ascii="Garamond" w:eastAsia="Garamond" w:hAnsi="Garamond" w:cs="Garamond"/>
          <w:color w:val="404040"/>
        </w:rPr>
        <w:t xml:space="preserve">I started thinking about this issue as a brand-new clinical student. While I have never worked as a professional interpreter, I am self-taught multilingual and am really interested in languages and the way they affect interpersonal relationships. As a student, I saw many physicians that I considered extremely capable and caring health care providers either completely foregoing or incorrectly utilizing medical interpreters. Put simply, it bothered me. </w:t>
      </w:r>
    </w:p>
    <w:p w14:paraId="4B7846BA" w14:textId="07705061" w:rsidR="002A3B56" w:rsidRDefault="00CC3A1E" w:rsidP="002A3B56">
      <w:pPr>
        <w:pBdr>
          <w:top w:val="nil"/>
          <w:left w:val="nil"/>
          <w:bottom w:val="nil"/>
          <w:right w:val="nil"/>
          <w:between w:val="nil"/>
        </w:pBdr>
        <w:rPr>
          <w:rFonts w:ascii="Garamond" w:eastAsia="Garamond" w:hAnsi="Garamond" w:cs="Garamond"/>
          <w:color w:val="404040"/>
        </w:rPr>
      </w:pPr>
      <w:r>
        <w:rPr>
          <w:rFonts w:ascii="Garamond" w:eastAsia="Garamond" w:hAnsi="Garamond" w:cs="Garamond"/>
          <w:color w:val="404040"/>
        </w:rPr>
        <w:t>I started talking to a few people from the Michigan Medicine interpreter services department prior to finding a research mentor. I think the biggest benefit was figuring out how to take the thoughts and questions I had and transform them into a format that could actually provide some answers. I had done very limited research prior to this, and I had never designed a study. I really learned a lot about the way we formulate questions and how it affects the answers we get.</w:t>
      </w:r>
    </w:p>
    <w:p w14:paraId="4FC49DE5" w14:textId="7C07BE63" w:rsidR="00CC3A1E" w:rsidRDefault="00CC3A1E" w:rsidP="002A3B56">
      <w:pPr>
        <w:pBdr>
          <w:top w:val="nil"/>
          <w:left w:val="nil"/>
          <w:bottom w:val="nil"/>
          <w:right w:val="nil"/>
          <w:between w:val="nil"/>
        </w:pBdr>
        <w:rPr>
          <w:rFonts w:ascii="Garamond" w:eastAsia="Garamond" w:hAnsi="Garamond" w:cs="Garamond"/>
          <w:color w:val="404040"/>
        </w:rPr>
      </w:pPr>
      <w:r>
        <w:rPr>
          <w:rFonts w:ascii="Garamond" w:eastAsia="Garamond" w:hAnsi="Garamond" w:cs="Garamond"/>
          <w:color w:val="404040"/>
        </w:rPr>
        <w:t xml:space="preserve">I think the potential benefits of this project are huge. In addition to the </w:t>
      </w:r>
      <w:proofErr w:type="gramStart"/>
      <w:r>
        <w:rPr>
          <w:rFonts w:ascii="Garamond" w:eastAsia="Garamond" w:hAnsi="Garamond" w:cs="Garamond"/>
          <w:color w:val="404040"/>
        </w:rPr>
        <w:t>information</w:t>
      </w:r>
      <w:proofErr w:type="gramEnd"/>
      <w:r>
        <w:rPr>
          <w:rFonts w:ascii="Garamond" w:eastAsia="Garamond" w:hAnsi="Garamond" w:cs="Garamond"/>
          <w:color w:val="404040"/>
        </w:rPr>
        <w:t xml:space="preserve"> we learned about surgical providers at Michigan, we also have learned that there are huge gaps in communication and in documentation of interpreter services provided. While my ultimate interest is in creating clear education and resources for health care providers about appropriate use of interpreters, this project revealed a separate, if complementary, </w:t>
      </w:r>
      <w:r>
        <w:rPr>
          <w:rFonts w:ascii="Garamond" w:eastAsia="Garamond" w:hAnsi="Garamond" w:cs="Garamond"/>
          <w:color w:val="404040"/>
        </w:rPr>
        <w:lastRenderedPageBreak/>
        <w:t xml:space="preserve">need. At its foundation, the next step of this project is quality improvement—figuring out how the system can optimize the resources that are already in place. </w:t>
      </w:r>
    </w:p>
    <w:p w14:paraId="33F0D89B" w14:textId="2B131C3A" w:rsidR="00D42C87" w:rsidRDefault="00D42C87" w:rsidP="002A3B56">
      <w:pPr>
        <w:pBdr>
          <w:top w:val="nil"/>
          <w:left w:val="nil"/>
          <w:bottom w:val="nil"/>
          <w:right w:val="nil"/>
          <w:between w:val="nil"/>
        </w:pBdr>
        <w:rPr>
          <w:rFonts w:ascii="Garamond" w:eastAsia="Garamond" w:hAnsi="Garamond" w:cs="Garamond"/>
          <w:color w:val="404040"/>
        </w:rPr>
      </w:pPr>
      <w:r>
        <w:rPr>
          <w:rFonts w:ascii="Garamond" w:eastAsia="Garamond" w:hAnsi="Garamond" w:cs="Garamond"/>
          <w:color w:val="404040"/>
        </w:rPr>
        <w:t xml:space="preserve">I am continuing work on this project alongside my PI and an M2. I will get as much done as I can over the next couple months, but I know that I won’t finish everything that I would like to. Nevertheless, I feel confident that the M2 working alongside me is as highly invested as I am and will continue our work after my departure.  </w:t>
      </w:r>
    </w:p>
    <w:p w14:paraId="2167017B" w14:textId="6B4F8986" w:rsidR="00D42C87" w:rsidRDefault="00D42C87" w:rsidP="002A3B56">
      <w:pPr>
        <w:pBdr>
          <w:top w:val="nil"/>
          <w:left w:val="nil"/>
          <w:bottom w:val="nil"/>
          <w:right w:val="nil"/>
          <w:between w:val="nil"/>
        </w:pBdr>
        <w:rPr>
          <w:rFonts w:ascii="Garamond" w:eastAsia="Garamond" w:hAnsi="Garamond" w:cs="Garamond"/>
          <w:color w:val="404040"/>
        </w:rPr>
      </w:pPr>
      <w:r>
        <w:rPr>
          <w:rFonts w:ascii="Garamond" w:eastAsia="Garamond" w:hAnsi="Garamond" w:cs="Garamond"/>
          <w:color w:val="404040"/>
        </w:rPr>
        <w:t xml:space="preserve">The best advice I can give </w:t>
      </w:r>
      <w:r w:rsidR="00F670D6">
        <w:rPr>
          <w:rFonts w:ascii="Garamond" w:eastAsia="Garamond" w:hAnsi="Garamond" w:cs="Garamond"/>
          <w:color w:val="404040"/>
        </w:rPr>
        <w:t>in regard to</w:t>
      </w:r>
      <w:r>
        <w:rPr>
          <w:rFonts w:ascii="Garamond" w:eastAsia="Garamond" w:hAnsi="Garamond" w:cs="Garamond"/>
          <w:color w:val="404040"/>
        </w:rPr>
        <w:t xml:space="preserve"> completing a capstone project is to pay attention to what is going on around you. There is </w:t>
      </w:r>
      <w:r w:rsidR="00856897">
        <w:rPr>
          <w:rFonts w:ascii="Garamond" w:eastAsia="Garamond" w:hAnsi="Garamond" w:cs="Garamond"/>
          <w:color w:val="404040"/>
        </w:rPr>
        <w:t xml:space="preserve">no shortage of potential projects, and ideas that may seem too small at the outset can end up being perfect. The next thing is to identify faculty or residents who have similar interests and can support your work. If you don’t know where to start, that’s okay. Talk to someone. Medicine is a relatively small community, and even if the first person you speak with is unfamiliar with your interests, chances are they will have ideas of who you should contact next. </w:t>
      </w:r>
    </w:p>
    <w:p w14:paraId="37B67305" w14:textId="6D674E4C" w:rsidR="00C67789" w:rsidRDefault="00C67789" w:rsidP="00C67789">
      <w:pPr>
        <w:pBdr>
          <w:top w:val="nil"/>
          <w:left w:val="nil"/>
          <w:bottom w:val="nil"/>
          <w:right w:val="nil"/>
          <w:between w:val="nil"/>
        </w:pBdr>
        <w:rPr>
          <w:rFonts w:ascii="Garamond" w:eastAsia="Garamond" w:hAnsi="Garamond" w:cs="Garamond"/>
          <w:color w:val="404040"/>
        </w:rPr>
      </w:pPr>
    </w:p>
    <w:p w14:paraId="5C4055DF" w14:textId="32AD6541" w:rsidR="00C67789" w:rsidRPr="00C67789" w:rsidRDefault="00C67789" w:rsidP="00C67789">
      <w:pPr>
        <w:pBdr>
          <w:top w:val="nil"/>
          <w:left w:val="nil"/>
          <w:bottom w:val="nil"/>
          <w:right w:val="nil"/>
          <w:between w:val="nil"/>
        </w:pBdr>
        <w:rPr>
          <w:rFonts w:ascii="Garamond" w:eastAsia="Garamond" w:hAnsi="Garamond" w:cs="Garamond"/>
          <w:color w:val="404040"/>
          <w:u w:val="single"/>
        </w:rPr>
      </w:pPr>
      <w:r w:rsidRPr="00C67789">
        <w:rPr>
          <w:rFonts w:ascii="Garamond" w:eastAsia="Garamond" w:hAnsi="Garamond" w:cs="Garamond"/>
          <w:color w:val="404040"/>
          <w:u w:val="single"/>
        </w:rPr>
        <w:t xml:space="preserve">References: </w:t>
      </w:r>
    </w:p>
    <w:p w14:paraId="2B2B3F07"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Arora NK. Interacting with cancer patients: the significance of physicians’ communication behavior. </w:t>
      </w:r>
      <w:r w:rsidRPr="00C67789">
        <w:rPr>
          <w:rFonts w:ascii="Garamond" w:eastAsia="Garamond" w:hAnsi="Garamond" w:cs="Garamond"/>
          <w:i/>
          <w:iCs/>
          <w:color w:val="404040"/>
        </w:rPr>
        <w:t>Social Science &amp; Medicine</w:t>
      </w:r>
      <w:r w:rsidRPr="00C67789">
        <w:rPr>
          <w:rFonts w:ascii="Garamond" w:eastAsia="Garamond" w:hAnsi="Garamond" w:cs="Garamond"/>
          <w:color w:val="404040"/>
        </w:rPr>
        <w:t xml:space="preserve">. 2003;57(5):791-806. doi:10.1016/S0277- 9536(02)00449-5 </w:t>
      </w:r>
    </w:p>
    <w:p w14:paraId="351DC26A"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Silverman J. Teaching clinical communication: a mainstream activity or just a minority sport? Patient Educ </w:t>
      </w:r>
      <w:proofErr w:type="spellStart"/>
      <w:r w:rsidRPr="00C67789">
        <w:rPr>
          <w:rFonts w:ascii="Garamond" w:eastAsia="Garamond" w:hAnsi="Garamond" w:cs="Garamond"/>
          <w:color w:val="404040"/>
        </w:rPr>
        <w:t>Couns</w:t>
      </w:r>
      <w:proofErr w:type="spellEnd"/>
      <w:r w:rsidRPr="00C67789">
        <w:rPr>
          <w:rFonts w:ascii="Garamond" w:eastAsia="Garamond" w:hAnsi="Garamond" w:cs="Garamond"/>
          <w:color w:val="404040"/>
        </w:rPr>
        <w:t xml:space="preserve">. 2009;76(3):361–7.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10.1016/j.pec.2009.06.011.</w:t>
      </w:r>
    </w:p>
    <w:p w14:paraId="51B8324D"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Rosenbaum ME, Axelson R. Curricular disconnects in learning communication skills: what and how students learn about communication during clinical clerkships. Patient Educ </w:t>
      </w:r>
      <w:proofErr w:type="spellStart"/>
      <w:r w:rsidRPr="00C67789">
        <w:rPr>
          <w:rFonts w:ascii="Garamond" w:eastAsia="Garamond" w:hAnsi="Garamond" w:cs="Garamond"/>
          <w:color w:val="404040"/>
        </w:rPr>
        <w:t>Couns</w:t>
      </w:r>
      <w:proofErr w:type="spellEnd"/>
      <w:r w:rsidRPr="00C67789">
        <w:rPr>
          <w:rFonts w:ascii="Garamond" w:eastAsia="Garamond" w:hAnsi="Garamond" w:cs="Garamond"/>
          <w:color w:val="404040"/>
        </w:rPr>
        <w:t xml:space="preserve">. 2013;91(1):85–90.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10.1016/j.pec.2012.10.011.</w:t>
      </w:r>
    </w:p>
    <w:p w14:paraId="226E8CFD"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proofErr w:type="spellStart"/>
      <w:r w:rsidRPr="00C67789">
        <w:rPr>
          <w:rFonts w:ascii="Garamond" w:eastAsia="Garamond" w:hAnsi="Garamond" w:cs="Garamond"/>
          <w:color w:val="404040"/>
        </w:rPr>
        <w:t>Batalova</w:t>
      </w:r>
      <w:proofErr w:type="spellEnd"/>
      <w:r w:rsidRPr="00C67789">
        <w:rPr>
          <w:rFonts w:ascii="Garamond" w:eastAsia="Garamond" w:hAnsi="Garamond" w:cs="Garamond"/>
          <w:color w:val="404040"/>
        </w:rPr>
        <w:t xml:space="preserve"> JZ Jeanne </w:t>
      </w:r>
      <w:proofErr w:type="spellStart"/>
      <w:r w:rsidRPr="00C67789">
        <w:rPr>
          <w:rFonts w:ascii="Garamond" w:eastAsia="Garamond" w:hAnsi="Garamond" w:cs="Garamond"/>
          <w:color w:val="404040"/>
        </w:rPr>
        <w:t>Batalova</w:t>
      </w:r>
      <w:proofErr w:type="spellEnd"/>
      <w:r w:rsidRPr="00C67789">
        <w:rPr>
          <w:rFonts w:ascii="Garamond" w:eastAsia="Garamond" w:hAnsi="Garamond" w:cs="Garamond"/>
          <w:color w:val="404040"/>
        </w:rPr>
        <w:t xml:space="preserve"> </w:t>
      </w:r>
      <w:proofErr w:type="spellStart"/>
      <w:r w:rsidRPr="00C67789">
        <w:rPr>
          <w:rFonts w:ascii="Garamond" w:eastAsia="Garamond" w:hAnsi="Garamond" w:cs="Garamond"/>
          <w:color w:val="404040"/>
        </w:rPr>
        <w:t>Jie</w:t>
      </w:r>
      <w:proofErr w:type="spellEnd"/>
      <w:r w:rsidRPr="00C67789">
        <w:rPr>
          <w:rFonts w:ascii="Garamond" w:eastAsia="Garamond" w:hAnsi="Garamond" w:cs="Garamond"/>
          <w:color w:val="404040"/>
        </w:rPr>
        <w:t xml:space="preserve"> </w:t>
      </w:r>
      <w:proofErr w:type="spellStart"/>
      <w:r w:rsidRPr="00C67789">
        <w:rPr>
          <w:rFonts w:ascii="Garamond" w:eastAsia="Garamond" w:hAnsi="Garamond" w:cs="Garamond"/>
          <w:color w:val="404040"/>
        </w:rPr>
        <w:t>Zong</w:t>
      </w:r>
      <w:proofErr w:type="spellEnd"/>
      <w:r w:rsidRPr="00C67789">
        <w:rPr>
          <w:rFonts w:ascii="Garamond" w:eastAsia="Garamond" w:hAnsi="Garamond" w:cs="Garamond"/>
          <w:color w:val="404040"/>
        </w:rPr>
        <w:t xml:space="preserve"> and Jeanne. The Limited English Proficient Population in the United States in 2013. migrationpolicy.org. Published July 7, 2015. Accessed July 26, 2020. https://www.migrationpolicy.org/article/limited-english-proficient- population-united-states-2013 </w:t>
      </w:r>
    </w:p>
    <w:p w14:paraId="062397A9"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Gandhi TK, </w:t>
      </w:r>
      <w:proofErr w:type="spellStart"/>
      <w:r w:rsidRPr="00C67789">
        <w:rPr>
          <w:rFonts w:ascii="Garamond" w:eastAsia="Garamond" w:hAnsi="Garamond" w:cs="Garamond"/>
          <w:color w:val="404040"/>
        </w:rPr>
        <w:t>Burstin</w:t>
      </w:r>
      <w:proofErr w:type="spellEnd"/>
      <w:r w:rsidRPr="00C67789">
        <w:rPr>
          <w:rFonts w:ascii="Garamond" w:eastAsia="Garamond" w:hAnsi="Garamond" w:cs="Garamond"/>
          <w:color w:val="404040"/>
        </w:rPr>
        <w:t xml:space="preserve"> HR, Cook EF, Puopolo AL, Haas JS, Brennan TA, Bates DW. Drug complications in outpatients. J Gen Intern Med. 2000 Mar;15(3):149-54.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10.1046/j.1525-1497.2000.</w:t>
      </w:r>
      <w:proofErr w:type="gramStart"/>
      <w:r w:rsidRPr="00C67789">
        <w:rPr>
          <w:rFonts w:ascii="Garamond" w:eastAsia="Garamond" w:hAnsi="Garamond" w:cs="Garamond"/>
          <w:color w:val="404040"/>
        </w:rPr>
        <w:t>04199.x.</w:t>
      </w:r>
      <w:proofErr w:type="gramEnd"/>
      <w:r w:rsidRPr="00C67789">
        <w:rPr>
          <w:rFonts w:ascii="Garamond" w:eastAsia="Garamond" w:hAnsi="Garamond" w:cs="Garamond"/>
          <w:color w:val="404040"/>
        </w:rPr>
        <w:t xml:space="preserve"> PMID: 10718894; PMCID: PMC1495358.</w:t>
      </w:r>
    </w:p>
    <w:p w14:paraId="1E7DE864"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proofErr w:type="spellStart"/>
      <w:r w:rsidRPr="00C67789">
        <w:rPr>
          <w:rFonts w:ascii="Garamond" w:eastAsia="Garamond" w:hAnsi="Garamond" w:cs="Garamond"/>
          <w:color w:val="404040"/>
        </w:rPr>
        <w:t>Karliner</w:t>
      </w:r>
      <w:proofErr w:type="spellEnd"/>
      <w:r w:rsidRPr="00C67789">
        <w:rPr>
          <w:rFonts w:ascii="Garamond" w:eastAsia="Garamond" w:hAnsi="Garamond" w:cs="Garamond"/>
          <w:color w:val="404040"/>
        </w:rPr>
        <w:t xml:space="preserve"> LS, Auerbach A, </w:t>
      </w:r>
      <w:proofErr w:type="spellStart"/>
      <w:r w:rsidRPr="00C67789">
        <w:rPr>
          <w:rFonts w:ascii="Garamond" w:eastAsia="Garamond" w:hAnsi="Garamond" w:cs="Garamond"/>
          <w:color w:val="404040"/>
        </w:rPr>
        <w:t>Nápoles</w:t>
      </w:r>
      <w:proofErr w:type="spellEnd"/>
      <w:r w:rsidRPr="00C67789">
        <w:rPr>
          <w:rFonts w:ascii="Garamond" w:eastAsia="Garamond" w:hAnsi="Garamond" w:cs="Garamond"/>
          <w:color w:val="404040"/>
        </w:rPr>
        <w:t xml:space="preserve"> A, Schillinger D, </w:t>
      </w:r>
      <w:proofErr w:type="spellStart"/>
      <w:r w:rsidRPr="00C67789">
        <w:rPr>
          <w:rFonts w:ascii="Garamond" w:eastAsia="Garamond" w:hAnsi="Garamond" w:cs="Garamond"/>
          <w:color w:val="404040"/>
        </w:rPr>
        <w:t>Nickleach</w:t>
      </w:r>
      <w:proofErr w:type="spellEnd"/>
      <w:r w:rsidRPr="00C67789">
        <w:rPr>
          <w:rFonts w:ascii="Garamond" w:eastAsia="Garamond" w:hAnsi="Garamond" w:cs="Garamond"/>
          <w:color w:val="404040"/>
        </w:rPr>
        <w:t xml:space="preserve"> D, Pérez-Stable EJ. Language barriers and understanding of hospital discharge instructions. Med Care. 2012 Apr;50(4):283-9.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10.1097/MLR.0b013e318249c949. PMID: 22411441; PMCID: PMC3311126.</w:t>
      </w:r>
    </w:p>
    <w:p w14:paraId="5F490E6E"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Lindholm M, Hargraves JL, Ferguson WJ, Reed G. Professional language interpretation and inpatient length of stay and readmission rates. J Gen Intern Med. 2012 Oct;27(10):1294-9.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xml:space="preserve">: 10.1007/s11606-012-2041-5. </w:t>
      </w:r>
      <w:proofErr w:type="spellStart"/>
      <w:r w:rsidRPr="00C67789">
        <w:rPr>
          <w:rFonts w:ascii="Garamond" w:eastAsia="Garamond" w:hAnsi="Garamond" w:cs="Garamond"/>
          <w:color w:val="404040"/>
        </w:rPr>
        <w:t>Epub</w:t>
      </w:r>
      <w:proofErr w:type="spellEnd"/>
      <w:r w:rsidRPr="00C67789">
        <w:rPr>
          <w:rFonts w:ascii="Garamond" w:eastAsia="Garamond" w:hAnsi="Garamond" w:cs="Garamond"/>
          <w:color w:val="404040"/>
        </w:rPr>
        <w:t xml:space="preserve"> 2012 Apr 18. PMID: 22528618; PMCID: PMC3445680.</w:t>
      </w:r>
    </w:p>
    <w:p w14:paraId="10BB8474"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Divi C, Koss RG, Schmaltz SP, Loeb JM. Language proficiency and adverse events in US hospitals: a pilot study. </w:t>
      </w:r>
      <w:r w:rsidRPr="00C67789">
        <w:rPr>
          <w:rFonts w:ascii="Garamond" w:eastAsia="Garamond" w:hAnsi="Garamond" w:cs="Garamond"/>
          <w:i/>
          <w:iCs/>
          <w:color w:val="404040"/>
        </w:rPr>
        <w:t>Int J Qual Health Care</w:t>
      </w:r>
      <w:r w:rsidRPr="00C67789">
        <w:rPr>
          <w:rFonts w:ascii="Garamond" w:eastAsia="Garamond" w:hAnsi="Garamond" w:cs="Garamond"/>
          <w:color w:val="404040"/>
        </w:rPr>
        <w:t>. 2007;19(2):60-67. doi:10.1093/</w:t>
      </w:r>
      <w:proofErr w:type="spellStart"/>
      <w:r w:rsidRPr="00C67789">
        <w:rPr>
          <w:rFonts w:ascii="Garamond" w:eastAsia="Garamond" w:hAnsi="Garamond" w:cs="Garamond"/>
          <w:color w:val="404040"/>
        </w:rPr>
        <w:t>intqhc</w:t>
      </w:r>
      <w:proofErr w:type="spellEnd"/>
      <w:r w:rsidRPr="00C67789">
        <w:rPr>
          <w:rFonts w:ascii="Garamond" w:eastAsia="Garamond" w:hAnsi="Garamond" w:cs="Garamond"/>
          <w:color w:val="404040"/>
        </w:rPr>
        <w:t xml:space="preserve">/mzl069 </w:t>
      </w:r>
    </w:p>
    <w:p w14:paraId="04D51E9A"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Tang EW, Go J, Kwok A, et al. The relationship between language proficiency and surgical length of stay following cardiac bypass surgery. </w:t>
      </w:r>
      <w:r w:rsidRPr="00C67789">
        <w:rPr>
          <w:rFonts w:ascii="Garamond" w:eastAsia="Garamond" w:hAnsi="Garamond" w:cs="Garamond"/>
          <w:i/>
          <w:iCs/>
          <w:color w:val="404040"/>
        </w:rPr>
        <w:t>European Journal of Cardiovascular Nursing</w:t>
      </w:r>
      <w:r w:rsidRPr="00C67789">
        <w:rPr>
          <w:rFonts w:ascii="Garamond" w:eastAsia="Garamond" w:hAnsi="Garamond" w:cs="Garamond"/>
          <w:color w:val="404040"/>
        </w:rPr>
        <w:t>. 2016;15(6):438-446. doi:10.1177/1474515115596645</w:t>
      </w:r>
    </w:p>
    <w:p w14:paraId="7F039FDB"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Office for Civil </w:t>
      </w:r>
      <w:r w:rsidRPr="00C67789">
        <w:rPr>
          <w:rFonts w:ascii="Garamond" w:eastAsia="Garamond" w:hAnsi="Garamond" w:cs="Garamond"/>
          <w:color w:val="404040"/>
        </w:rPr>
        <w:t>Rights (OCR) O for C. Limited English Proficiency (LEP). HHS.gov. Published August 13, 2007. Accessed July 26, 2020. https://www.hhs.gov/civil-rights/for-individuals/special-topics/limited-english-proficiency/index.html</w:t>
      </w:r>
      <w:r w:rsidRPr="00C67789" w:rsidDel="00F4417D">
        <w:rPr>
          <w:rFonts w:ascii="Garamond" w:eastAsia="Garamond" w:hAnsi="Garamond" w:cs="Garamond"/>
          <w:color w:val="404040"/>
        </w:rPr>
        <w:t xml:space="preserve"> </w:t>
      </w:r>
    </w:p>
    <w:p w14:paraId="49189150"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proofErr w:type="spellStart"/>
      <w:r w:rsidRPr="00C67789">
        <w:rPr>
          <w:rFonts w:ascii="Garamond" w:eastAsia="Garamond" w:hAnsi="Garamond" w:cs="Garamond"/>
          <w:color w:val="404040"/>
        </w:rPr>
        <w:lastRenderedPageBreak/>
        <w:t>Juckett</w:t>
      </w:r>
      <w:proofErr w:type="spellEnd"/>
      <w:r w:rsidRPr="00C67789">
        <w:rPr>
          <w:rFonts w:ascii="Garamond" w:eastAsia="Garamond" w:hAnsi="Garamond" w:cs="Garamond"/>
          <w:color w:val="404040"/>
        </w:rPr>
        <w:t xml:space="preserve"> G, Unger K. Appropriate use of medical interpreters. Am Fam Physician. 2014 Oct 1;90(7):476-80. PMID: 25369625.</w:t>
      </w:r>
    </w:p>
    <w:p w14:paraId="4E8B9489"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Schenker Y, Pérez-Stable EJ, </w:t>
      </w:r>
      <w:proofErr w:type="spellStart"/>
      <w:r w:rsidRPr="00C67789">
        <w:rPr>
          <w:rFonts w:ascii="Garamond" w:eastAsia="Garamond" w:hAnsi="Garamond" w:cs="Garamond"/>
          <w:color w:val="404040"/>
        </w:rPr>
        <w:t>Nickleach</w:t>
      </w:r>
      <w:proofErr w:type="spellEnd"/>
      <w:r w:rsidRPr="00C67789">
        <w:rPr>
          <w:rFonts w:ascii="Garamond" w:eastAsia="Garamond" w:hAnsi="Garamond" w:cs="Garamond"/>
          <w:color w:val="404040"/>
        </w:rPr>
        <w:t xml:space="preserve"> D, </w:t>
      </w:r>
      <w:proofErr w:type="spellStart"/>
      <w:r w:rsidRPr="00C67789">
        <w:rPr>
          <w:rFonts w:ascii="Garamond" w:eastAsia="Garamond" w:hAnsi="Garamond" w:cs="Garamond"/>
          <w:color w:val="404040"/>
        </w:rPr>
        <w:t>Karliner</w:t>
      </w:r>
      <w:proofErr w:type="spellEnd"/>
      <w:r w:rsidRPr="00C67789">
        <w:rPr>
          <w:rFonts w:ascii="Garamond" w:eastAsia="Garamond" w:hAnsi="Garamond" w:cs="Garamond"/>
          <w:color w:val="404040"/>
        </w:rPr>
        <w:t xml:space="preserve"> LS. Patterns of interpreter use for hospitalized patients with limited English proficiency. J Gen Intern Med. 2011 Jul;26(7):712-7.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xml:space="preserve">: 10.1007/s11606-010-1619-z. </w:t>
      </w:r>
      <w:proofErr w:type="spellStart"/>
      <w:r w:rsidRPr="00C67789">
        <w:rPr>
          <w:rFonts w:ascii="Garamond" w:eastAsia="Garamond" w:hAnsi="Garamond" w:cs="Garamond"/>
          <w:color w:val="404040"/>
        </w:rPr>
        <w:t>Epub</w:t>
      </w:r>
      <w:proofErr w:type="spellEnd"/>
      <w:r w:rsidRPr="00C67789">
        <w:rPr>
          <w:rFonts w:ascii="Garamond" w:eastAsia="Garamond" w:hAnsi="Garamond" w:cs="Garamond"/>
          <w:color w:val="404040"/>
        </w:rPr>
        <w:t xml:space="preserve"> 2011 Feb 19. PMID: 21336672; PMCID: PMC3138590.</w:t>
      </w:r>
    </w:p>
    <w:p w14:paraId="5BCE29E1"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Patel DN, </w:t>
      </w:r>
      <w:proofErr w:type="spellStart"/>
      <w:r w:rsidRPr="00C67789">
        <w:rPr>
          <w:rFonts w:ascii="Garamond" w:eastAsia="Garamond" w:hAnsi="Garamond" w:cs="Garamond"/>
          <w:color w:val="404040"/>
        </w:rPr>
        <w:t>Wakeam</w:t>
      </w:r>
      <w:proofErr w:type="spellEnd"/>
      <w:r w:rsidRPr="00C67789">
        <w:rPr>
          <w:rFonts w:ascii="Garamond" w:eastAsia="Garamond" w:hAnsi="Garamond" w:cs="Garamond"/>
          <w:color w:val="404040"/>
        </w:rPr>
        <w:t xml:space="preserve"> E, </w:t>
      </w:r>
      <w:proofErr w:type="spellStart"/>
      <w:r w:rsidRPr="00C67789">
        <w:rPr>
          <w:rFonts w:ascii="Garamond" w:eastAsia="Garamond" w:hAnsi="Garamond" w:cs="Garamond"/>
          <w:color w:val="404040"/>
        </w:rPr>
        <w:t>Genoff</w:t>
      </w:r>
      <w:proofErr w:type="spellEnd"/>
      <w:r w:rsidRPr="00C67789">
        <w:rPr>
          <w:rFonts w:ascii="Garamond" w:eastAsia="Garamond" w:hAnsi="Garamond" w:cs="Garamond"/>
          <w:color w:val="404040"/>
        </w:rPr>
        <w:t xml:space="preserve"> M, </w:t>
      </w:r>
      <w:proofErr w:type="spellStart"/>
      <w:r w:rsidRPr="00C67789">
        <w:rPr>
          <w:rFonts w:ascii="Garamond" w:eastAsia="Garamond" w:hAnsi="Garamond" w:cs="Garamond"/>
          <w:color w:val="404040"/>
        </w:rPr>
        <w:t>Mujawar</w:t>
      </w:r>
      <w:proofErr w:type="spellEnd"/>
      <w:r w:rsidRPr="00C67789">
        <w:rPr>
          <w:rFonts w:ascii="Garamond" w:eastAsia="Garamond" w:hAnsi="Garamond" w:cs="Garamond"/>
          <w:color w:val="404040"/>
        </w:rPr>
        <w:t xml:space="preserve"> I, Ashley SW, Diamond LC. Preoperative consent for patients with limited English proficiency. </w:t>
      </w:r>
      <w:r w:rsidRPr="00C67789">
        <w:rPr>
          <w:rFonts w:ascii="Garamond" w:eastAsia="Garamond" w:hAnsi="Garamond" w:cs="Garamond"/>
          <w:i/>
          <w:iCs/>
          <w:color w:val="404040"/>
        </w:rPr>
        <w:t>Journal of Surgical Research</w:t>
      </w:r>
      <w:r w:rsidRPr="00C67789">
        <w:rPr>
          <w:rFonts w:ascii="Garamond" w:eastAsia="Garamond" w:hAnsi="Garamond" w:cs="Garamond"/>
          <w:color w:val="404040"/>
        </w:rPr>
        <w:t xml:space="preserve">. 2016;200(2):514-522. </w:t>
      </w:r>
      <w:proofErr w:type="gramStart"/>
      <w:r w:rsidRPr="00C67789">
        <w:rPr>
          <w:rFonts w:ascii="Garamond" w:eastAsia="Garamond" w:hAnsi="Garamond" w:cs="Garamond"/>
          <w:color w:val="404040"/>
        </w:rPr>
        <w:t>doi:10.1016/j.jss</w:t>
      </w:r>
      <w:proofErr w:type="gramEnd"/>
      <w:r w:rsidRPr="00C67789">
        <w:rPr>
          <w:rFonts w:ascii="Garamond" w:eastAsia="Garamond" w:hAnsi="Garamond" w:cs="Garamond"/>
          <w:color w:val="404040"/>
        </w:rPr>
        <w:t xml:space="preserve">.2015.09.033 </w:t>
      </w:r>
    </w:p>
    <w:p w14:paraId="0F297BFA"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Lee JS, Pérez-Stable EJ, </w:t>
      </w:r>
      <w:proofErr w:type="spellStart"/>
      <w:r w:rsidRPr="00C67789">
        <w:rPr>
          <w:rFonts w:ascii="Garamond" w:eastAsia="Garamond" w:hAnsi="Garamond" w:cs="Garamond"/>
          <w:color w:val="404040"/>
        </w:rPr>
        <w:t>Gregorich</w:t>
      </w:r>
      <w:proofErr w:type="spellEnd"/>
      <w:r w:rsidRPr="00C67789">
        <w:rPr>
          <w:rFonts w:ascii="Garamond" w:eastAsia="Garamond" w:hAnsi="Garamond" w:cs="Garamond"/>
          <w:color w:val="404040"/>
        </w:rPr>
        <w:t xml:space="preserve"> SE, Crawford MH, Green A, </w:t>
      </w:r>
      <w:proofErr w:type="spellStart"/>
      <w:r w:rsidRPr="00C67789">
        <w:rPr>
          <w:rFonts w:ascii="Garamond" w:eastAsia="Garamond" w:hAnsi="Garamond" w:cs="Garamond"/>
          <w:color w:val="404040"/>
        </w:rPr>
        <w:t>Livaudais</w:t>
      </w:r>
      <w:proofErr w:type="spellEnd"/>
      <w:r w:rsidRPr="00C67789">
        <w:rPr>
          <w:rFonts w:ascii="Garamond" w:eastAsia="Garamond" w:hAnsi="Garamond" w:cs="Garamond"/>
          <w:color w:val="404040"/>
        </w:rPr>
        <w:t xml:space="preserve">-Toman J, </w:t>
      </w:r>
      <w:proofErr w:type="spellStart"/>
      <w:r w:rsidRPr="00C67789">
        <w:rPr>
          <w:rFonts w:ascii="Garamond" w:eastAsia="Garamond" w:hAnsi="Garamond" w:cs="Garamond"/>
          <w:color w:val="404040"/>
        </w:rPr>
        <w:t>Karliner</w:t>
      </w:r>
      <w:proofErr w:type="spellEnd"/>
      <w:r w:rsidRPr="00C67789">
        <w:rPr>
          <w:rFonts w:ascii="Garamond" w:eastAsia="Garamond" w:hAnsi="Garamond" w:cs="Garamond"/>
          <w:color w:val="404040"/>
        </w:rPr>
        <w:t xml:space="preserve"> LS. Increased Access to Professional Interpreters in the Hospital Improves Informed Consent for Patients with Limited English Proficiency. J Gen Intern Med. 2017 Aug;32(8):863-870.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xml:space="preserve">: 10.1007/s11606-017-3983-4. </w:t>
      </w:r>
      <w:proofErr w:type="spellStart"/>
      <w:r w:rsidRPr="00C67789">
        <w:rPr>
          <w:rFonts w:ascii="Garamond" w:eastAsia="Garamond" w:hAnsi="Garamond" w:cs="Garamond"/>
          <w:color w:val="404040"/>
        </w:rPr>
        <w:t>Epub</w:t>
      </w:r>
      <w:proofErr w:type="spellEnd"/>
      <w:r w:rsidRPr="00C67789">
        <w:rPr>
          <w:rFonts w:ascii="Garamond" w:eastAsia="Garamond" w:hAnsi="Garamond" w:cs="Garamond"/>
          <w:color w:val="404040"/>
        </w:rPr>
        <w:t xml:space="preserve"> 2017 Feb 9. PMID: 28185201; PMCID: PMC5515780.</w:t>
      </w:r>
    </w:p>
    <w:p w14:paraId="4585D420" w14:textId="77777777" w:rsidR="00C67789" w:rsidRPr="00C67789" w:rsidRDefault="00C67789" w:rsidP="00C67789">
      <w:pPr>
        <w:numPr>
          <w:ilvl w:val="0"/>
          <w:numId w:val="2"/>
        </w:numPr>
        <w:pBdr>
          <w:top w:val="nil"/>
          <w:left w:val="nil"/>
          <w:bottom w:val="nil"/>
          <w:right w:val="nil"/>
          <w:between w:val="nil"/>
        </w:pBdr>
        <w:rPr>
          <w:rFonts w:ascii="Garamond" w:eastAsia="Garamond" w:hAnsi="Garamond" w:cs="Garamond"/>
          <w:color w:val="404040"/>
        </w:rPr>
      </w:pPr>
      <w:r w:rsidRPr="00C67789">
        <w:rPr>
          <w:rFonts w:ascii="Garamond" w:eastAsia="Garamond" w:hAnsi="Garamond" w:cs="Garamond"/>
          <w:color w:val="404040"/>
        </w:rPr>
        <w:t xml:space="preserve">Hunt LM, de </w:t>
      </w:r>
      <w:proofErr w:type="spellStart"/>
      <w:r w:rsidRPr="00C67789">
        <w:rPr>
          <w:rFonts w:ascii="Garamond" w:eastAsia="Garamond" w:hAnsi="Garamond" w:cs="Garamond"/>
          <w:color w:val="404040"/>
        </w:rPr>
        <w:t>Voogd</w:t>
      </w:r>
      <w:proofErr w:type="spellEnd"/>
      <w:r w:rsidRPr="00C67789">
        <w:rPr>
          <w:rFonts w:ascii="Garamond" w:eastAsia="Garamond" w:hAnsi="Garamond" w:cs="Garamond"/>
          <w:color w:val="404040"/>
        </w:rPr>
        <w:t xml:space="preserve"> KB. Are good intentions good enough? Informed consent without trained interpreters. J Gen Intern Med. 2007 May;22(5):598-605. </w:t>
      </w:r>
      <w:proofErr w:type="spellStart"/>
      <w:r w:rsidRPr="00C67789">
        <w:rPr>
          <w:rFonts w:ascii="Garamond" w:eastAsia="Garamond" w:hAnsi="Garamond" w:cs="Garamond"/>
          <w:color w:val="404040"/>
        </w:rPr>
        <w:t>doi</w:t>
      </w:r>
      <w:proofErr w:type="spellEnd"/>
      <w:r w:rsidRPr="00C67789">
        <w:rPr>
          <w:rFonts w:ascii="Garamond" w:eastAsia="Garamond" w:hAnsi="Garamond" w:cs="Garamond"/>
          <w:color w:val="404040"/>
        </w:rPr>
        <w:t xml:space="preserve">: 10.1007/s11606-007-0136-1. </w:t>
      </w:r>
      <w:proofErr w:type="spellStart"/>
      <w:r w:rsidRPr="00C67789">
        <w:rPr>
          <w:rFonts w:ascii="Garamond" w:eastAsia="Garamond" w:hAnsi="Garamond" w:cs="Garamond"/>
          <w:color w:val="404040"/>
        </w:rPr>
        <w:t>Epub</w:t>
      </w:r>
      <w:proofErr w:type="spellEnd"/>
      <w:r w:rsidRPr="00C67789">
        <w:rPr>
          <w:rFonts w:ascii="Garamond" w:eastAsia="Garamond" w:hAnsi="Garamond" w:cs="Garamond"/>
          <w:color w:val="404040"/>
        </w:rPr>
        <w:t xml:space="preserve"> 2007 Mar 2. PMID: 17443367; PMCID: PMC1855271.</w:t>
      </w:r>
    </w:p>
    <w:p w14:paraId="2F339E64" w14:textId="77777777" w:rsidR="00C67789" w:rsidRDefault="00C67789" w:rsidP="00C67789">
      <w:pPr>
        <w:pBdr>
          <w:top w:val="nil"/>
          <w:left w:val="nil"/>
          <w:bottom w:val="nil"/>
          <w:right w:val="nil"/>
          <w:between w:val="nil"/>
        </w:pBdr>
        <w:rPr>
          <w:rFonts w:ascii="Garamond" w:eastAsia="Garamond" w:hAnsi="Garamond" w:cs="Garamond"/>
          <w:color w:val="404040"/>
        </w:rPr>
      </w:pPr>
    </w:p>
    <w:p w14:paraId="6EA1FB7C" w14:textId="77777777" w:rsidR="009A583F" w:rsidRDefault="009A583F"/>
    <w:sectPr w:rsidR="009A583F">
      <w:pgSz w:w="12240" w:h="15840"/>
      <w:pgMar w:top="72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F6A61"/>
    <w:multiLevelType w:val="multilevel"/>
    <w:tmpl w:val="A120E9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4F3F69"/>
    <w:multiLevelType w:val="hybridMultilevel"/>
    <w:tmpl w:val="07D0F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83F"/>
    <w:rsid w:val="00252454"/>
    <w:rsid w:val="002A3B56"/>
    <w:rsid w:val="00395653"/>
    <w:rsid w:val="0056019A"/>
    <w:rsid w:val="005B1956"/>
    <w:rsid w:val="00856897"/>
    <w:rsid w:val="008C27E8"/>
    <w:rsid w:val="009812A1"/>
    <w:rsid w:val="009A0D72"/>
    <w:rsid w:val="009A583F"/>
    <w:rsid w:val="00A8534A"/>
    <w:rsid w:val="00B11BA1"/>
    <w:rsid w:val="00B9123D"/>
    <w:rsid w:val="00BF2101"/>
    <w:rsid w:val="00C67789"/>
    <w:rsid w:val="00CC3A1E"/>
    <w:rsid w:val="00D42C87"/>
    <w:rsid w:val="00E24A86"/>
    <w:rsid w:val="00F67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8E9821"/>
  <w15:docId w15:val="{817C76A6-2435-D64A-AA9A-C0CF666F9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945"/>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A494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B9123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195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B195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564396">
      <w:bodyDiv w:val="1"/>
      <w:marLeft w:val="0"/>
      <w:marRight w:val="0"/>
      <w:marTop w:val="0"/>
      <w:marBottom w:val="0"/>
      <w:divBdr>
        <w:top w:val="none" w:sz="0" w:space="0" w:color="auto"/>
        <w:left w:val="none" w:sz="0" w:space="0" w:color="auto"/>
        <w:bottom w:val="none" w:sz="0" w:space="0" w:color="auto"/>
        <w:right w:val="none" w:sz="0" w:space="0" w:color="auto"/>
      </w:divBdr>
      <w:divsChild>
        <w:div w:id="1697073275">
          <w:marLeft w:val="0"/>
          <w:marRight w:val="0"/>
          <w:marTop w:val="0"/>
          <w:marBottom w:val="0"/>
          <w:divBdr>
            <w:top w:val="none" w:sz="0" w:space="0" w:color="auto"/>
            <w:left w:val="none" w:sz="0" w:space="0" w:color="auto"/>
            <w:bottom w:val="none" w:sz="0" w:space="0" w:color="auto"/>
            <w:right w:val="none" w:sz="0" w:space="0" w:color="auto"/>
          </w:divBdr>
          <w:divsChild>
            <w:div w:id="1722822648">
              <w:marLeft w:val="0"/>
              <w:marRight w:val="0"/>
              <w:marTop w:val="0"/>
              <w:marBottom w:val="0"/>
              <w:divBdr>
                <w:top w:val="none" w:sz="0" w:space="0" w:color="auto"/>
                <w:left w:val="none" w:sz="0" w:space="0" w:color="auto"/>
                <w:bottom w:val="none" w:sz="0" w:space="0" w:color="auto"/>
                <w:right w:val="none" w:sz="0" w:space="0" w:color="auto"/>
              </w:divBdr>
              <w:divsChild>
                <w:div w:id="1725832060">
                  <w:marLeft w:val="0"/>
                  <w:marRight w:val="0"/>
                  <w:marTop w:val="0"/>
                  <w:marBottom w:val="0"/>
                  <w:divBdr>
                    <w:top w:val="none" w:sz="0" w:space="0" w:color="auto"/>
                    <w:left w:val="none" w:sz="0" w:space="0" w:color="auto"/>
                    <w:bottom w:val="none" w:sz="0" w:space="0" w:color="auto"/>
                    <w:right w:val="none" w:sz="0" w:space="0" w:color="auto"/>
                  </w:divBdr>
                  <w:divsChild>
                    <w:div w:id="1412237305">
                      <w:marLeft w:val="0"/>
                      <w:marRight w:val="0"/>
                      <w:marTop w:val="0"/>
                      <w:marBottom w:val="0"/>
                      <w:divBdr>
                        <w:top w:val="none" w:sz="0" w:space="0" w:color="auto"/>
                        <w:left w:val="none" w:sz="0" w:space="0" w:color="auto"/>
                        <w:bottom w:val="none" w:sz="0" w:space="0" w:color="auto"/>
                        <w:right w:val="none" w:sz="0" w:space="0" w:color="auto"/>
                      </w:divBdr>
                      <w:divsChild>
                        <w:div w:id="155261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992848">
                  <w:marLeft w:val="0"/>
                  <w:marRight w:val="0"/>
                  <w:marTop w:val="0"/>
                  <w:marBottom w:val="0"/>
                  <w:divBdr>
                    <w:top w:val="none" w:sz="0" w:space="0" w:color="auto"/>
                    <w:left w:val="none" w:sz="0" w:space="0" w:color="auto"/>
                    <w:bottom w:val="none" w:sz="0" w:space="0" w:color="auto"/>
                    <w:right w:val="none" w:sz="0" w:space="0" w:color="auto"/>
                  </w:divBdr>
                  <w:divsChild>
                    <w:div w:id="1650986184">
                      <w:marLeft w:val="0"/>
                      <w:marRight w:val="0"/>
                      <w:marTop w:val="0"/>
                      <w:marBottom w:val="0"/>
                      <w:divBdr>
                        <w:top w:val="none" w:sz="0" w:space="0" w:color="auto"/>
                        <w:left w:val="none" w:sz="0" w:space="0" w:color="auto"/>
                        <w:bottom w:val="none" w:sz="0" w:space="0" w:color="auto"/>
                        <w:right w:val="none" w:sz="0" w:space="0" w:color="auto"/>
                      </w:divBdr>
                      <w:divsChild>
                        <w:div w:id="18512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429824">
          <w:marLeft w:val="0"/>
          <w:marRight w:val="0"/>
          <w:marTop w:val="0"/>
          <w:marBottom w:val="0"/>
          <w:divBdr>
            <w:top w:val="none" w:sz="0" w:space="0" w:color="auto"/>
            <w:left w:val="none" w:sz="0" w:space="0" w:color="auto"/>
            <w:bottom w:val="none" w:sz="0" w:space="0" w:color="auto"/>
            <w:right w:val="none" w:sz="0" w:space="0" w:color="auto"/>
          </w:divBdr>
          <w:divsChild>
            <w:div w:id="1187717922">
              <w:marLeft w:val="0"/>
              <w:marRight w:val="0"/>
              <w:marTop w:val="0"/>
              <w:marBottom w:val="0"/>
              <w:divBdr>
                <w:top w:val="none" w:sz="0" w:space="0" w:color="auto"/>
                <w:left w:val="none" w:sz="0" w:space="0" w:color="auto"/>
                <w:bottom w:val="none" w:sz="0" w:space="0" w:color="auto"/>
                <w:right w:val="none" w:sz="0" w:space="0" w:color="auto"/>
              </w:divBdr>
              <w:divsChild>
                <w:div w:id="499663348">
                  <w:marLeft w:val="0"/>
                  <w:marRight w:val="0"/>
                  <w:marTop w:val="0"/>
                  <w:marBottom w:val="0"/>
                  <w:divBdr>
                    <w:top w:val="none" w:sz="0" w:space="0" w:color="auto"/>
                    <w:left w:val="none" w:sz="0" w:space="0" w:color="auto"/>
                    <w:bottom w:val="none" w:sz="0" w:space="0" w:color="auto"/>
                    <w:right w:val="none" w:sz="0" w:space="0" w:color="auto"/>
                  </w:divBdr>
                  <w:divsChild>
                    <w:div w:id="94184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193352">
      <w:bodyDiv w:val="1"/>
      <w:marLeft w:val="0"/>
      <w:marRight w:val="0"/>
      <w:marTop w:val="0"/>
      <w:marBottom w:val="0"/>
      <w:divBdr>
        <w:top w:val="none" w:sz="0" w:space="0" w:color="auto"/>
        <w:left w:val="none" w:sz="0" w:space="0" w:color="auto"/>
        <w:bottom w:val="none" w:sz="0" w:space="0" w:color="auto"/>
        <w:right w:val="none" w:sz="0" w:space="0" w:color="auto"/>
      </w:divBdr>
      <w:divsChild>
        <w:div w:id="159006929">
          <w:marLeft w:val="0"/>
          <w:marRight w:val="0"/>
          <w:marTop w:val="0"/>
          <w:marBottom w:val="0"/>
          <w:divBdr>
            <w:top w:val="none" w:sz="0" w:space="0" w:color="auto"/>
            <w:left w:val="none" w:sz="0" w:space="0" w:color="auto"/>
            <w:bottom w:val="none" w:sz="0" w:space="0" w:color="auto"/>
            <w:right w:val="none" w:sz="0" w:space="0" w:color="auto"/>
          </w:divBdr>
          <w:divsChild>
            <w:div w:id="236020049">
              <w:marLeft w:val="0"/>
              <w:marRight w:val="0"/>
              <w:marTop w:val="0"/>
              <w:marBottom w:val="0"/>
              <w:divBdr>
                <w:top w:val="none" w:sz="0" w:space="0" w:color="auto"/>
                <w:left w:val="none" w:sz="0" w:space="0" w:color="auto"/>
                <w:bottom w:val="none" w:sz="0" w:space="0" w:color="auto"/>
                <w:right w:val="none" w:sz="0" w:space="0" w:color="auto"/>
              </w:divBdr>
              <w:divsChild>
                <w:div w:id="1830097334">
                  <w:marLeft w:val="0"/>
                  <w:marRight w:val="0"/>
                  <w:marTop w:val="0"/>
                  <w:marBottom w:val="0"/>
                  <w:divBdr>
                    <w:top w:val="none" w:sz="0" w:space="0" w:color="auto"/>
                    <w:left w:val="none" w:sz="0" w:space="0" w:color="auto"/>
                    <w:bottom w:val="none" w:sz="0" w:space="0" w:color="auto"/>
                    <w:right w:val="none" w:sz="0" w:space="0" w:color="auto"/>
                  </w:divBdr>
                  <w:divsChild>
                    <w:div w:id="138251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682675">
      <w:bodyDiv w:val="1"/>
      <w:marLeft w:val="0"/>
      <w:marRight w:val="0"/>
      <w:marTop w:val="0"/>
      <w:marBottom w:val="0"/>
      <w:divBdr>
        <w:top w:val="none" w:sz="0" w:space="0" w:color="auto"/>
        <w:left w:val="none" w:sz="0" w:space="0" w:color="auto"/>
        <w:bottom w:val="none" w:sz="0" w:space="0" w:color="auto"/>
        <w:right w:val="none" w:sz="0" w:space="0" w:color="auto"/>
      </w:divBdr>
    </w:div>
    <w:div w:id="697703773">
      <w:bodyDiv w:val="1"/>
      <w:marLeft w:val="0"/>
      <w:marRight w:val="0"/>
      <w:marTop w:val="0"/>
      <w:marBottom w:val="0"/>
      <w:divBdr>
        <w:top w:val="none" w:sz="0" w:space="0" w:color="auto"/>
        <w:left w:val="none" w:sz="0" w:space="0" w:color="auto"/>
        <w:bottom w:val="none" w:sz="0" w:space="0" w:color="auto"/>
        <w:right w:val="none" w:sz="0" w:space="0" w:color="auto"/>
      </w:divBdr>
      <w:divsChild>
        <w:div w:id="1242570445">
          <w:marLeft w:val="0"/>
          <w:marRight w:val="0"/>
          <w:marTop w:val="0"/>
          <w:marBottom w:val="0"/>
          <w:divBdr>
            <w:top w:val="none" w:sz="0" w:space="0" w:color="auto"/>
            <w:left w:val="none" w:sz="0" w:space="0" w:color="auto"/>
            <w:bottom w:val="none" w:sz="0" w:space="0" w:color="auto"/>
            <w:right w:val="none" w:sz="0" w:space="0" w:color="auto"/>
          </w:divBdr>
          <w:divsChild>
            <w:div w:id="1134757106">
              <w:marLeft w:val="0"/>
              <w:marRight w:val="0"/>
              <w:marTop w:val="0"/>
              <w:marBottom w:val="0"/>
              <w:divBdr>
                <w:top w:val="none" w:sz="0" w:space="0" w:color="auto"/>
                <w:left w:val="none" w:sz="0" w:space="0" w:color="auto"/>
                <w:bottom w:val="none" w:sz="0" w:space="0" w:color="auto"/>
                <w:right w:val="none" w:sz="0" w:space="0" w:color="auto"/>
              </w:divBdr>
              <w:divsChild>
                <w:div w:id="754666443">
                  <w:marLeft w:val="0"/>
                  <w:marRight w:val="0"/>
                  <w:marTop w:val="0"/>
                  <w:marBottom w:val="0"/>
                  <w:divBdr>
                    <w:top w:val="none" w:sz="0" w:space="0" w:color="auto"/>
                    <w:left w:val="none" w:sz="0" w:space="0" w:color="auto"/>
                    <w:bottom w:val="none" w:sz="0" w:space="0" w:color="auto"/>
                    <w:right w:val="none" w:sz="0" w:space="0" w:color="auto"/>
                  </w:divBdr>
                  <w:divsChild>
                    <w:div w:id="62504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688214">
      <w:bodyDiv w:val="1"/>
      <w:marLeft w:val="0"/>
      <w:marRight w:val="0"/>
      <w:marTop w:val="0"/>
      <w:marBottom w:val="0"/>
      <w:divBdr>
        <w:top w:val="none" w:sz="0" w:space="0" w:color="auto"/>
        <w:left w:val="none" w:sz="0" w:space="0" w:color="auto"/>
        <w:bottom w:val="none" w:sz="0" w:space="0" w:color="auto"/>
        <w:right w:val="none" w:sz="0" w:space="0" w:color="auto"/>
      </w:divBdr>
      <w:divsChild>
        <w:div w:id="2066369790">
          <w:marLeft w:val="0"/>
          <w:marRight w:val="0"/>
          <w:marTop w:val="0"/>
          <w:marBottom w:val="0"/>
          <w:divBdr>
            <w:top w:val="none" w:sz="0" w:space="0" w:color="auto"/>
            <w:left w:val="none" w:sz="0" w:space="0" w:color="auto"/>
            <w:bottom w:val="none" w:sz="0" w:space="0" w:color="auto"/>
            <w:right w:val="none" w:sz="0" w:space="0" w:color="auto"/>
          </w:divBdr>
          <w:divsChild>
            <w:div w:id="1425492954">
              <w:marLeft w:val="0"/>
              <w:marRight w:val="0"/>
              <w:marTop w:val="0"/>
              <w:marBottom w:val="0"/>
              <w:divBdr>
                <w:top w:val="none" w:sz="0" w:space="0" w:color="auto"/>
                <w:left w:val="none" w:sz="0" w:space="0" w:color="auto"/>
                <w:bottom w:val="none" w:sz="0" w:space="0" w:color="auto"/>
                <w:right w:val="none" w:sz="0" w:space="0" w:color="auto"/>
              </w:divBdr>
              <w:divsChild>
                <w:div w:id="1577940248">
                  <w:marLeft w:val="0"/>
                  <w:marRight w:val="0"/>
                  <w:marTop w:val="0"/>
                  <w:marBottom w:val="0"/>
                  <w:divBdr>
                    <w:top w:val="none" w:sz="0" w:space="0" w:color="auto"/>
                    <w:left w:val="none" w:sz="0" w:space="0" w:color="auto"/>
                    <w:bottom w:val="none" w:sz="0" w:space="0" w:color="auto"/>
                    <w:right w:val="none" w:sz="0" w:space="0" w:color="auto"/>
                  </w:divBdr>
                  <w:divsChild>
                    <w:div w:id="88526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940966">
      <w:bodyDiv w:val="1"/>
      <w:marLeft w:val="0"/>
      <w:marRight w:val="0"/>
      <w:marTop w:val="0"/>
      <w:marBottom w:val="0"/>
      <w:divBdr>
        <w:top w:val="none" w:sz="0" w:space="0" w:color="auto"/>
        <w:left w:val="none" w:sz="0" w:space="0" w:color="auto"/>
        <w:bottom w:val="none" w:sz="0" w:space="0" w:color="auto"/>
        <w:right w:val="none" w:sz="0" w:space="0" w:color="auto"/>
      </w:divBdr>
      <w:divsChild>
        <w:div w:id="1115565248">
          <w:marLeft w:val="0"/>
          <w:marRight w:val="0"/>
          <w:marTop w:val="0"/>
          <w:marBottom w:val="0"/>
          <w:divBdr>
            <w:top w:val="none" w:sz="0" w:space="0" w:color="auto"/>
            <w:left w:val="none" w:sz="0" w:space="0" w:color="auto"/>
            <w:bottom w:val="none" w:sz="0" w:space="0" w:color="auto"/>
            <w:right w:val="none" w:sz="0" w:space="0" w:color="auto"/>
          </w:divBdr>
          <w:divsChild>
            <w:div w:id="2012294365">
              <w:marLeft w:val="0"/>
              <w:marRight w:val="0"/>
              <w:marTop w:val="0"/>
              <w:marBottom w:val="0"/>
              <w:divBdr>
                <w:top w:val="none" w:sz="0" w:space="0" w:color="auto"/>
                <w:left w:val="none" w:sz="0" w:space="0" w:color="auto"/>
                <w:bottom w:val="none" w:sz="0" w:space="0" w:color="auto"/>
                <w:right w:val="none" w:sz="0" w:space="0" w:color="auto"/>
              </w:divBdr>
              <w:divsChild>
                <w:div w:id="1232155057">
                  <w:marLeft w:val="0"/>
                  <w:marRight w:val="0"/>
                  <w:marTop w:val="0"/>
                  <w:marBottom w:val="0"/>
                  <w:divBdr>
                    <w:top w:val="none" w:sz="0" w:space="0" w:color="auto"/>
                    <w:left w:val="none" w:sz="0" w:space="0" w:color="auto"/>
                    <w:bottom w:val="none" w:sz="0" w:space="0" w:color="auto"/>
                    <w:right w:val="none" w:sz="0" w:space="0" w:color="auto"/>
                  </w:divBdr>
                  <w:divsChild>
                    <w:div w:id="71986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770104">
      <w:bodyDiv w:val="1"/>
      <w:marLeft w:val="0"/>
      <w:marRight w:val="0"/>
      <w:marTop w:val="0"/>
      <w:marBottom w:val="0"/>
      <w:divBdr>
        <w:top w:val="none" w:sz="0" w:space="0" w:color="auto"/>
        <w:left w:val="none" w:sz="0" w:space="0" w:color="auto"/>
        <w:bottom w:val="none" w:sz="0" w:space="0" w:color="auto"/>
        <w:right w:val="none" w:sz="0" w:space="0" w:color="auto"/>
      </w:divBdr>
      <w:divsChild>
        <w:div w:id="257103946">
          <w:marLeft w:val="0"/>
          <w:marRight w:val="0"/>
          <w:marTop w:val="0"/>
          <w:marBottom w:val="0"/>
          <w:divBdr>
            <w:top w:val="none" w:sz="0" w:space="0" w:color="auto"/>
            <w:left w:val="none" w:sz="0" w:space="0" w:color="auto"/>
            <w:bottom w:val="none" w:sz="0" w:space="0" w:color="auto"/>
            <w:right w:val="none" w:sz="0" w:space="0" w:color="auto"/>
          </w:divBdr>
          <w:divsChild>
            <w:div w:id="1933582605">
              <w:marLeft w:val="0"/>
              <w:marRight w:val="0"/>
              <w:marTop w:val="0"/>
              <w:marBottom w:val="0"/>
              <w:divBdr>
                <w:top w:val="none" w:sz="0" w:space="0" w:color="auto"/>
                <w:left w:val="none" w:sz="0" w:space="0" w:color="auto"/>
                <w:bottom w:val="none" w:sz="0" w:space="0" w:color="auto"/>
                <w:right w:val="none" w:sz="0" w:space="0" w:color="auto"/>
              </w:divBdr>
              <w:divsChild>
                <w:div w:id="239557137">
                  <w:marLeft w:val="0"/>
                  <w:marRight w:val="0"/>
                  <w:marTop w:val="0"/>
                  <w:marBottom w:val="0"/>
                  <w:divBdr>
                    <w:top w:val="none" w:sz="0" w:space="0" w:color="auto"/>
                    <w:left w:val="none" w:sz="0" w:space="0" w:color="auto"/>
                    <w:bottom w:val="none" w:sz="0" w:space="0" w:color="auto"/>
                    <w:right w:val="none" w:sz="0" w:space="0" w:color="auto"/>
                  </w:divBdr>
                  <w:divsChild>
                    <w:div w:id="172143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605022">
      <w:bodyDiv w:val="1"/>
      <w:marLeft w:val="0"/>
      <w:marRight w:val="0"/>
      <w:marTop w:val="0"/>
      <w:marBottom w:val="0"/>
      <w:divBdr>
        <w:top w:val="none" w:sz="0" w:space="0" w:color="auto"/>
        <w:left w:val="none" w:sz="0" w:space="0" w:color="auto"/>
        <w:bottom w:val="none" w:sz="0" w:space="0" w:color="auto"/>
        <w:right w:val="none" w:sz="0" w:space="0" w:color="auto"/>
      </w:divBdr>
      <w:divsChild>
        <w:div w:id="580602074">
          <w:marLeft w:val="0"/>
          <w:marRight w:val="0"/>
          <w:marTop w:val="0"/>
          <w:marBottom w:val="0"/>
          <w:divBdr>
            <w:top w:val="none" w:sz="0" w:space="0" w:color="auto"/>
            <w:left w:val="none" w:sz="0" w:space="0" w:color="auto"/>
            <w:bottom w:val="none" w:sz="0" w:space="0" w:color="auto"/>
            <w:right w:val="none" w:sz="0" w:space="0" w:color="auto"/>
          </w:divBdr>
          <w:divsChild>
            <w:div w:id="1192456728">
              <w:marLeft w:val="0"/>
              <w:marRight w:val="0"/>
              <w:marTop w:val="0"/>
              <w:marBottom w:val="0"/>
              <w:divBdr>
                <w:top w:val="none" w:sz="0" w:space="0" w:color="auto"/>
                <w:left w:val="none" w:sz="0" w:space="0" w:color="auto"/>
                <w:bottom w:val="none" w:sz="0" w:space="0" w:color="auto"/>
                <w:right w:val="none" w:sz="0" w:space="0" w:color="auto"/>
              </w:divBdr>
              <w:divsChild>
                <w:div w:id="1075123894">
                  <w:marLeft w:val="0"/>
                  <w:marRight w:val="0"/>
                  <w:marTop w:val="0"/>
                  <w:marBottom w:val="0"/>
                  <w:divBdr>
                    <w:top w:val="none" w:sz="0" w:space="0" w:color="auto"/>
                    <w:left w:val="none" w:sz="0" w:space="0" w:color="auto"/>
                    <w:bottom w:val="none" w:sz="0" w:space="0" w:color="auto"/>
                    <w:right w:val="none" w:sz="0" w:space="0" w:color="auto"/>
                  </w:divBdr>
                  <w:divsChild>
                    <w:div w:id="46623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258984">
      <w:bodyDiv w:val="1"/>
      <w:marLeft w:val="0"/>
      <w:marRight w:val="0"/>
      <w:marTop w:val="0"/>
      <w:marBottom w:val="0"/>
      <w:divBdr>
        <w:top w:val="none" w:sz="0" w:space="0" w:color="auto"/>
        <w:left w:val="none" w:sz="0" w:space="0" w:color="auto"/>
        <w:bottom w:val="none" w:sz="0" w:space="0" w:color="auto"/>
        <w:right w:val="none" w:sz="0" w:space="0" w:color="auto"/>
      </w:divBdr>
      <w:divsChild>
        <w:div w:id="698942164">
          <w:marLeft w:val="0"/>
          <w:marRight w:val="0"/>
          <w:marTop w:val="0"/>
          <w:marBottom w:val="0"/>
          <w:divBdr>
            <w:top w:val="none" w:sz="0" w:space="0" w:color="auto"/>
            <w:left w:val="none" w:sz="0" w:space="0" w:color="auto"/>
            <w:bottom w:val="none" w:sz="0" w:space="0" w:color="auto"/>
            <w:right w:val="none" w:sz="0" w:space="0" w:color="auto"/>
          </w:divBdr>
          <w:divsChild>
            <w:div w:id="1639218569">
              <w:marLeft w:val="0"/>
              <w:marRight w:val="0"/>
              <w:marTop w:val="0"/>
              <w:marBottom w:val="0"/>
              <w:divBdr>
                <w:top w:val="none" w:sz="0" w:space="0" w:color="auto"/>
                <w:left w:val="none" w:sz="0" w:space="0" w:color="auto"/>
                <w:bottom w:val="none" w:sz="0" w:space="0" w:color="auto"/>
                <w:right w:val="none" w:sz="0" w:space="0" w:color="auto"/>
              </w:divBdr>
              <w:divsChild>
                <w:div w:id="616957618">
                  <w:marLeft w:val="0"/>
                  <w:marRight w:val="0"/>
                  <w:marTop w:val="0"/>
                  <w:marBottom w:val="0"/>
                  <w:divBdr>
                    <w:top w:val="none" w:sz="0" w:space="0" w:color="auto"/>
                    <w:left w:val="none" w:sz="0" w:space="0" w:color="auto"/>
                    <w:bottom w:val="none" w:sz="0" w:space="0" w:color="auto"/>
                    <w:right w:val="none" w:sz="0" w:space="0" w:color="auto"/>
                  </w:divBdr>
                  <w:divsChild>
                    <w:div w:id="140668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DnF744fV6cKMyiBPA07r9V/RFw==">AMUW2mW35a908LmU5nKBeMa0k1RIRaxGf9tO3F1JJtR7p7jEon6pFibD3rcgjwFSqjBxE1svW72jxvMELTJn5IYVFcAB2U87grp1ffV3Hnmz5ZRgtO/ahBi8FRY2GdDsBJu40WLE402E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1763</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Haque, Samiah</dc:creator>
  <cp:lastModifiedBy>Rollins, Paris</cp:lastModifiedBy>
  <cp:revision>17</cp:revision>
  <dcterms:created xsi:type="dcterms:W3CDTF">2019-09-28T17:44:00Z</dcterms:created>
  <dcterms:modified xsi:type="dcterms:W3CDTF">2020-12-21T19:15:00Z</dcterms:modified>
</cp:coreProperties>
</file>