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64C52" w14:textId="799AD677" w:rsidR="00295F5C" w:rsidRPr="00DF3469" w:rsidRDefault="00295F5C" w:rsidP="00295F5C">
      <w:pPr>
        <w:spacing w:line="480" w:lineRule="auto"/>
        <w:rPr>
          <w:rFonts w:asciiTheme="minorHAnsi" w:hAnsiTheme="minorHAnsi" w:cstheme="minorHAnsi"/>
          <w:b/>
          <w:sz w:val="22"/>
          <w:szCs w:val="22"/>
          <w:u w:val="single"/>
        </w:rPr>
      </w:pPr>
      <w:r w:rsidRPr="00DF3469">
        <w:rPr>
          <w:rFonts w:asciiTheme="minorHAnsi" w:hAnsiTheme="minorHAnsi" w:cstheme="minorHAnsi"/>
          <w:b/>
          <w:sz w:val="22"/>
          <w:szCs w:val="22"/>
          <w:u w:val="single"/>
        </w:rPr>
        <w:t xml:space="preserve">Title </w:t>
      </w:r>
    </w:p>
    <w:p w14:paraId="2EC0F0DC" w14:textId="0BD08332" w:rsidR="00295F5C" w:rsidRPr="00DF3469" w:rsidRDefault="00496332" w:rsidP="00295F5C">
      <w:pPr>
        <w:spacing w:line="480" w:lineRule="auto"/>
        <w:rPr>
          <w:rFonts w:asciiTheme="minorHAnsi" w:hAnsiTheme="minorHAnsi" w:cstheme="minorHAnsi"/>
          <w:sz w:val="22"/>
          <w:szCs w:val="22"/>
        </w:rPr>
      </w:pPr>
      <w:r w:rsidRPr="00DF3469">
        <w:rPr>
          <w:rFonts w:asciiTheme="minorHAnsi" w:hAnsiTheme="minorHAnsi" w:cstheme="minorHAnsi"/>
          <w:sz w:val="22"/>
          <w:szCs w:val="22"/>
        </w:rPr>
        <w:t xml:space="preserve">Pre-operative Prostate MRI </w:t>
      </w:r>
      <w:r w:rsidR="00156FA5" w:rsidRPr="00DF3469">
        <w:rPr>
          <w:rFonts w:asciiTheme="minorHAnsi" w:hAnsiTheme="minorHAnsi" w:cstheme="minorHAnsi"/>
          <w:sz w:val="22"/>
          <w:szCs w:val="22"/>
        </w:rPr>
        <w:t>Predictors</w:t>
      </w:r>
      <w:r w:rsidRPr="00DF3469">
        <w:rPr>
          <w:rFonts w:asciiTheme="minorHAnsi" w:hAnsiTheme="minorHAnsi" w:cstheme="minorHAnsi"/>
          <w:sz w:val="22"/>
          <w:szCs w:val="22"/>
        </w:rPr>
        <w:t xml:space="preserve"> of </w:t>
      </w:r>
      <w:r w:rsidR="00DF3469" w:rsidRPr="00DF3469">
        <w:rPr>
          <w:rFonts w:asciiTheme="minorHAnsi" w:hAnsiTheme="minorHAnsi" w:cstheme="minorHAnsi"/>
          <w:sz w:val="22"/>
          <w:szCs w:val="22"/>
        </w:rPr>
        <w:t xml:space="preserve">Urinary </w:t>
      </w:r>
      <w:r w:rsidRPr="00DF3469">
        <w:rPr>
          <w:rFonts w:asciiTheme="minorHAnsi" w:hAnsiTheme="minorHAnsi" w:cstheme="minorHAnsi"/>
          <w:sz w:val="22"/>
          <w:szCs w:val="22"/>
        </w:rPr>
        <w:t xml:space="preserve">Continence </w:t>
      </w:r>
      <w:r w:rsidR="00156FA5" w:rsidRPr="00DF3469">
        <w:rPr>
          <w:rFonts w:asciiTheme="minorHAnsi" w:hAnsiTheme="minorHAnsi" w:cstheme="minorHAnsi"/>
          <w:sz w:val="22"/>
          <w:szCs w:val="22"/>
        </w:rPr>
        <w:t xml:space="preserve">following </w:t>
      </w:r>
      <w:r w:rsidRPr="00DF3469">
        <w:rPr>
          <w:rFonts w:asciiTheme="minorHAnsi" w:hAnsiTheme="minorHAnsi" w:cstheme="minorHAnsi"/>
          <w:sz w:val="22"/>
          <w:szCs w:val="22"/>
        </w:rPr>
        <w:t xml:space="preserve">Radical Prostatectomy </w:t>
      </w:r>
    </w:p>
    <w:p w14:paraId="60FE3F42" w14:textId="77777777" w:rsidR="00F0353B" w:rsidRDefault="00F0353B" w:rsidP="00F0353B">
      <w:pPr>
        <w:spacing w:line="480" w:lineRule="auto"/>
        <w:rPr>
          <w:rFonts w:asciiTheme="minorHAnsi" w:hAnsiTheme="minorHAnsi" w:cstheme="minorHAnsi"/>
          <w:b/>
          <w:sz w:val="22"/>
          <w:szCs w:val="22"/>
          <w:u w:val="single"/>
        </w:rPr>
      </w:pPr>
    </w:p>
    <w:p w14:paraId="3040A83D" w14:textId="7E38B82B" w:rsidR="00F0353B" w:rsidRPr="00AC47A7" w:rsidRDefault="00F0353B" w:rsidP="00F0353B">
      <w:pPr>
        <w:spacing w:line="480" w:lineRule="auto"/>
        <w:rPr>
          <w:rFonts w:asciiTheme="minorHAnsi" w:hAnsiTheme="minorHAnsi" w:cstheme="minorHAnsi"/>
          <w:b/>
          <w:sz w:val="22"/>
          <w:szCs w:val="22"/>
          <w:u w:val="single"/>
        </w:rPr>
      </w:pPr>
      <w:r w:rsidRPr="00AC47A7">
        <w:rPr>
          <w:rFonts w:asciiTheme="minorHAnsi" w:hAnsiTheme="minorHAnsi" w:cstheme="minorHAnsi"/>
          <w:b/>
          <w:sz w:val="22"/>
          <w:szCs w:val="22"/>
          <w:u w:val="single"/>
        </w:rPr>
        <w:t xml:space="preserve">Authors </w:t>
      </w:r>
    </w:p>
    <w:p w14:paraId="3B830972" w14:textId="77777777" w:rsidR="00F0353B" w:rsidRPr="00AC47A7" w:rsidRDefault="00F0353B" w:rsidP="00F0353B">
      <w:pPr>
        <w:spacing w:line="480" w:lineRule="auto"/>
        <w:rPr>
          <w:rFonts w:asciiTheme="minorHAnsi" w:hAnsiTheme="minorHAnsi" w:cstheme="minorHAnsi"/>
          <w:sz w:val="22"/>
          <w:szCs w:val="22"/>
          <w:vertAlign w:val="superscript"/>
        </w:rPr>
      </w:pPr>
      <w:r>
        <w:rPr>
          <w:rFonts w:asciiTheme="minorHAnsi" w:hAnsiTheme="minorHAnsi" w:cstheme="minorHAnsi"/>
          <w:sz w:val="22"/>
          <w:szCs w:val="22"/>
        </w:rPr>
        <w:t xml:space="preserve">Hannah Lamberg, </w:t>
      </w:r>
      <w:proofErr w:type="spellStart"/>
      <w:r>
        <w:rPr>
          <w:rFonts w:asciiTheme="minorHAnsi" w:hAnsiTheme="minorHAnsi" w:cstheme="minorHAnsi"/>
          <w:sz w:val="22"/>
          <w:szCs w:val="22"/>
        </w:rPr>
        <w:t>BS</w:t>
      </w:r>
      <w:r>
        <w:rPr>
          <w:rFonts w:asciiTheme="minorHAnsi" w:hAnsiTheme="minorHAnsi" w:cstheme="minorHAnsi"/>
          <w:sz w:val="22"/>
          <w:szCs w:val="22"/>
          <w:vertAlign w:val="superscript"/>
        </w:rPr>
        <w:t>a</w:t>
      </w:r>
      <w:proofErr w:type="spellEnd"/>
    </w:p>
    <w:p w14:paraId="2D0E39B9" w14:textId="77777777" w:rsidR="00F0353B" w:rsidRDefault="00F0353B" w:rsidP="00F0353B">
      <w:pPr>
        <w:spacing w:line="480" w:lineRule="auto"/>
        <w:rPr>
          <w:rFonts w:asciiTheme="minorHAnsi" w:hAnsiTheme="minorHAnsi" w:cstheme="minorHAnsi"/>
          <w:sz w:val="22"/>
          <w:szCs w:val="22"/>
          <w:vertAlign w:val="superscript"/>
        </w:rPr>
      </w:pPr>
      <w:r>
        <w:rPr>
          <w:rFonts w:asciiTheme="minorHAnsi" w:hAnsiTheme="minorHAnsi" w:cstheme="minorHAnsi"/>
          <w:sz w:val="22"/>
          <w:szCs w:val="22"/>
        </w:rPr>
        <w:t xml:space="preserve">Prasad R Shankar, </w:t>
      </w:r>
      <w:proofErr w:type="spellStart"/>
      <w:proofErr w:type="gramStart"/>
      <w:r>
        <w:rPr>
          <w:rFonts w:asciiTheme="minorHAnsi" w:hAnsiTheme="minorHAnsi" w:cstheme="minorHAnsi"/>
          <w:sz w:val="22"/>
          <w:szCs w:val="22"/>
        </w:rPr>
        <w:t>MD</w:t>
      </w:r>
      <w:r>
        <w:rPr>
          <w:rFonts w:asciiTheme="minorHAnsi" w:hAnsiTheme="minorHAnsi" w:cstheme="minorHAnsi"/>
          <w:sz w:val="22"/>
          <w:szCs w:val="22"/>
          <w:vertAlign w:val="superscript"/>
        </w:rPr>
        <w:t>a,b</w:t>
      </w:r>
      <w:proofErr w:type="spellEnd"/>
      <w:proofErr w:type="gramEnd"/>
    </w:p>
    <w:p w14:paraId="15C949D9" w14:textId="77777777" w:rsidR="00F0353B" w:rsidRPr="00BE492E" w:rsidRDefault="00F0353B" w:rsidP="00F0353B">
      <w:pPr>
        <w:spacing w:line="480" w:lineRule="auto"/>
        <w:rPr>
          <w:rFonts w:asciiTheme="minorHAnsi" w:hAnsiTheme="minorHAnsi" w:cstheme="minorHAnsi"/>
          <w:sz w:val="22"/>
          <w:szCs w:val="22"/>
        </w:rPr>
      </w:pPr>
      <w:proofErr w:type="spellStart"/>
      <w:r>
        <w:rPr>
          <w:rFonts w:asciiTheme="minorHAnsi" w:hAnsiTheme="minorHAnsi" w:cstheme="minorHAnsi"/>
          <w:sz w:val="22"/>
          <w:szCs w:val="22"/>
        </w:rPr>
        <w:t>Karandeep</w:t>
      </w:r>
      <w:proofErr w:type="spellEnd"/>
      <w:r>
        <w:rPr>
          <w:rFonts w:asciiTheme="minorHAnsi" w:hAnsiTheme="minorHAnsi" w:cstheme="minorHAnsi"/>
          <w:sz w:val="22"/>
          <w:szCs w:val="22"/>
        </w:rPr>
        <w:t xml:space="preserve"> Singh, MD, </w:t>
      </w:r>
      <w:proofErr w:type="spellStart"/>
      <w:r>
        <w:rPr>
          <w:rFonts w:asciiTheme="minorHAnsi" w:hAnsiTheme="minorHAnsi" w:cstheme="minorHAnsi"/>
          <w:sz w:val="22"/>
          <w:szCs w:val="22"/>
        </w:rPr>
        <w:t>MMSc</w:t>
      </w:r>
      <w:r>
        <w:rPr>
          <w:rFonts w:asciiTheme="minorHAnsi" w:hAnsiTheme="minorHAnsi" w:cstheme="minorHAnsi"/>
          <w:sz w:val="22"/>
          <w:szCs w:val="22"/>
          <w:vertAlign w:val="superscript"/>
        </w:rPr>
        <w:t>c</w:t>
      </w:r>
      <w:proofErr w:type="spellEnd"/>
      <w:r>
        <w:rPr>
          <w:rFonts w:asciiTheme="minorHAnsi" w:hAnsiTheme="minorHAnsi" w:cstheme="minorHAnsi"/>
          <w:sz w:val="22"/>
          <w:szCs w:val="22"/>
          <w:vertAlign w:val="superscript"/>
        </w:rPr>
        <w:t>, d</w:t>
      </w:r>
      <w:r>
        <w:rPr>
          <w:rFonts w:asciiTheme="minorHAnsi" w:hAnsiTheme="minorHAnsi" w:cstheme="minorHAnsi"/>
          <w:sz w:val="22"/>
          <w:szCs w:val="22"/>
        </w:rPr>
        <w:t xml:space="preserve"> </w:t>
      </w:r>
    </w:p>
    <w:p w14:paraId="6622C2ED" w14:textId="77777777" w:rsidR="00F0353B"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rPr>
        <w:t xml:space="preserve">Elaine M </w:t>
      </w:r>
      <w:proofErr w:type="spellStart"/>
      <w:r>
        <w:rPr>
          <w:rFonts w:asciiTheme="minorHAnsi" w:hAnsiTheme="minorHAnsi" w:cstheme="minorHAnsi"/>
          <w:sz w:val="22"/>
          <w:szCs w:val="22"/>
        </w:rPr>
        <w:t>Caoili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MD</w:t>
      </w:r>
      <w:r>
        <w:rPr>
          <w:rFonts w:asciiTheme="minorHAnsi" w:hAnsiTheme="minorHAnsi" w:cstheme="minorHAnsi"/>
          <w:sz w:val="22"/>
          <w:szCs w:val="22"/>
          <w:vertAlign w:val="superscript"/>
        </w:rPr>
        <w:t>a</w:t>
      </w:r>
      <w:proofErr w:type="spellEnd"/>
      <w:r>
        <w:rPr>
          <w:rFonts w:asciiTheme="minorHAnsi" w:hAnsiTheme="minorHAnsi" w:cstheme="minorHAnsi"/>
          <w:sz w:val="22"/>
          <w:szCs w:val="22"/>
        </w:rPr>
        <w:t xml:space="preserve"> </w:t>
      </w:r>
    </w:p>
    <w:p w14:paraId="5E9CE7AC" w14:textId="77777777" w:rsidR="00F0353B"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rPr>
        <w:t xml:space="preserve">Arvin K George, </w:t>
      </w:r>
      <w:proofErr w:type="spellStart"/>
      <w:r>
        <w:rPr>
          <w:rFonts w:asciiTheme="minorHAnsi" w:hAnsiTheme="minorHAnsi" w:cstheme="minorHAnsi"/>
          <w:sz w:val="22"/>
          <w:szCs w:val="22"/>
        </w:rPr>
        <w:t>MD</w:t>
      </w:r>
      <w:r>
        <w:rPr>
          <w:rFonts w:asciiTheme="minorHAnsi" w:hAnsiTheme="minorHAnsi" w:cstheme="minorHAnsi"/>
          <w:sz w:val="22"/>
          <w:szCs w:val="22"/>
          <w:vertAlign w:val="superscript"/>
        </w:rPr>
        <w:t>b</w:t>
      </w:r>
      <w:proofErr w:type="spellEnd"/>
      <w:r>
        <w:rPr>
          <w:rFonts w:asciiTheme="minorHAnsi" w:hAnsiTheme="minorHAnsi" w:cstheme="minorHAnsi"/>
          <w:sz w:val="22"/>
          <w:szCs w:val="22"/>
        </w:rPr>
        <w:t xml:space="preserve"> </w:t>
      </w:r>
    </w:p>
    <w:p w14:paraId="447088B3" w14:textId="77777777" w:rsidR="00F0353B"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rPr>
        <w:t xml:space="preserve">Caitlin Hackett, </w:t>
      </w:r>
      <w:proofErr w:type="spellStart"/>
      <w:r>
        <w:rPr>
          <w:rFonts w:asciiTheme="minorHAnsi" w:hAnsiTheme="minorHAnsi" w:cstheme="minorHAnsi"/>
          <w:sz w:val="22"/>
          <w:szCs w:val="22"/>
        </w:rPr>
        <w:t>MD</w:t>
      </w:r>
      <w:r>
        <w:rPr>
          <w:rFonts w:asciiTheme="minorHAnsi" w:hAnsiTheme="minorHAnsi" w:cstheme="minorHAnsi"/>
          <w:sz w:val="22"/>
          <w:szCs w:val="22"/>
          <w:vertAlign w:val="superscript"/>
        </w:rPr>
        <w:t>a</w:t>
      </w:r>
      <w:proofErr w:type="spellEnd"/>
      <w:r>
        <w:rPr>
          <w:rFonts w:asciiTheme="minorHAnsi" w:hAnsiTheme="minorHAnsi" w:cstheme="minorHAnsi"/>
          <w:sz w:val="22"/>
          <w:szCs w:val="22"/>
        </w:rPr>
        <w:t xml:space="preserve"> </w:t>
      </w:r>
    </w:p>
    <w:p w14:paraId="2C39255A" w14:textId="77777777" w:rsidR="00F0353B"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rPr>
        <w:t xml:space="preserve">Anna </w:t>
      </w:r>
      <w:proofErr w:type="spellStart"/>
      <w:r>
        <w:rPr>
          <w:rFonts w:asciiTheme="minorHAnsi" w:hAnsiTheme="minorHAnsi" w:cstheme="minorHAnsi"/>
          <w:sz w:val="22"/>
          <w:szCs w:val="22"/>
        </w:rPr>
        <w:t>Johnson</w:t>
      </w:r>
      <w:r>
        <w:rPr>
          <w:rFonts w:asciiTheme="minorHAnsi" w:hAnsiTheme="minorHAnsi" w:cstheme="minorHAnsi"/>
          <w:sz w:val="22"/>
          <w:szCs w:val="22"/>
          <w:vertAlign w:val="superscript"/>
        </w:rPr>
        <w:t>b</w:t>
      </w:r>
      <w:proofErr w:type="spellEnd"/>
      <w:r>
        <w:rPr>
          <w:rFonts w:asciiTheme="minorHAnsi" w:hAnsiTheme="minorHAnsi" w:cstheme="minorHAnsi"/>
          <w:sz w:val="22"/>
          <w:szCs w:val="22"/>
        </w:rPr>
        <w:t xml:space="preserve"> </w:t>
      </w:r>
    </w:p>
    <w:p w14:paraId="275ABDDF" w14:textId="77777777" w:rsidR="00F0353B" w:rsidRPr="003A3672"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rPr>
        <w:t xml:space="preserve">Matthew S Davenport, </w:t>
      </w:r>
      <w:proofErr w:type="spellStart"/>
      <w:r>
        <w:rPr>
          <w:rFonts w:asciiTheme="minorHAnsi" w:hAnsiTheme="minorHAnsi" w:cstheme="minorHAnsi"/>
          <w:sz w:val="22"/>
          <w:szCs w:val="22"/>
        </w:rPr>
        <w:t>MD</w:t>
      </w:r>
      <w:r>
        <w:rPr>
          <w:rFonts w:asciiTheme="minorHAnsi" w:hAnsiTheme="minorHAnsi" w:cstheme="minorHAnsi"/>
          <w:sz w:val="22"/>
          <w:szCs w:val="22"/>
          <w:vertAlign w:val="superscript"/>
        </w:rPr>
        <w:t>a</w:t>
      </w:r>
      <w:proofErr w:type="spellEnd"/>
      <w:r>
        <w:rPr>
          <w:rFonts w:asciiTheme="minorHAnsi" w:hAnsiTheme="minorHAnsi" w:cstheme="minorHAnsi"/>
          <w:sz w:val="22"/>
          <w:szCs w:val="22"/>
          <w:vertAlign w:val="superscript"/>
        </w:rPr>
        <w:t>, b, c</w:t>
      </w:r>
      <w:r>
        <w:rPr>
          <w:rFonts w:asciiTheme="minorHAnsi" w:hAnsiTheme="minorHAnsi" w:cstheme="minorHAnsi"/>
          <w:sz w:val="22"/>
          <w:szCs w:val="22"/>
        </w:rPr>
        <w:t xml:space="preserve"> </w:t>
      </w:r>
    </w:p>
    <w:p w14:paraId="5F32D51F" w14:textId="77777777" w:rsidR="00F0353B" w:rsidRPr="00AC47A7" w:rsidRDefault="00F0353B" w:rsidP="00F0353B">
      <w:pPr>
        <w:spacing w:line="480" w:lineRule="auto"/>
        <w:rPr>
          <w:rFonts w:asciiTheme="minorHAnsi" w:hAnsiTheme="minorHAnsi" w:cstheme="minorHAnsi"/>
          <w:b/>
          <w:sz w:val="22"/>
          <w:szCs w:val="22"/>
        </w:rPr>
      </w:pPr>
      <w:r w:rsidRPr="00AC47A7">
        <w:rPr>
          <w:rFonts w:asciiTheme="minorHAnsi" w:hAnsiTheme="minorHAnsi" w:cstheme="minorHAnsi"/>
          <w:b/>
          <w:sz w:val="22"/>
          <w:szCs w:val="22"/>
        </w:rPr>
        <w:t xml:space="preserve">Affiliations: </w:t>
      </w:r>
    </w:p>
    <w:p w14:paraId="3C27008C" w14:textId="77777777" w:rsidR="00F0353B"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vertAlign w:val="superscript"/>
        </w:rPr>
        <w:t>a</w:t>
      </w:r>
      <w:r>
        <w:rPr>
          <w:rFonts w:asciiTheme="minorHAnsi" w:hAnsiTheme="minorHAnsi" w:cstheme="minorHAnsi"/>
          <w:sz w:val="22"/>
          <w:szCs w:val="22"/>
        </w:rPr>
        <w:t xml:space="preserve"> University of Michigan, Michigan Medicine, Department of Radiology, 1500 E. Medical Center Dr., Ann Arbor, MI  </w:t>
      </w:r>
    </w:p>
    <w:p w14:paraId="3F4CBF1F" w14:textId="77777777" w:rsidR="00F0353B" w:rsidRPr="00E05A16"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vertAlign w:val="superscript"/>
        </w:rPr>
        <w:t>b</w:t>
      </w:r>
      <w:r>
        <w:rPr>
          <w:rFonts w:asciiTheme="minorHAnsi" w:hAnsiTheme="minorHAnsi" w:cstheme="minorHAnsi"/>
          <w:sz w:val="22"/>
          <w:szCs w:val="22"/>
        </w:rPr>
        <w:t xml:space="preserve"> Michigan Radiology Quality Collaborative, Michigan Medicine, Ann Arbor, MI</w:t>
      </w:r>
    </w:p>
    <w:p w14:paraId="7E4CCDF1" w14:textId="77777777" w:rsidR="00F0353B" w:rsidRPr="00E05A16" w:rsidRDefault="00F0353B" w:rsidP="00F0353B">
      <w:pPr>
        <w:spacing w:line="480" w:lineRule="auto"/>
        <w:rPr>
          <w:rFonts w:asciiTheme="minorHAnsi" w:hAnsiTheme="minorHAnsi" w:cstheme="minorHAnsi"/>
          <w:sz w:val="22"/>
          <w:szCs w:val="22"/>
        </w:rPr>
      </w:pPr>
      <w:r>
        <w:rPr>
          <w:rFonts w:asciiTheme="minorHAnsi" w:hAnsiTheme="minorHAnsi" w:cstheme="minorHAnsi"/>
          <w:sz w:val="22"/>
          <w:szCs w:val="22"/>
          <w:vertAlign w:val="superscript"/>
        </w:rPr>
        <w:t xml:space="preserve">c </w:t>
      </w:r>
      <w:r>
        <w:rPr>
          <w:rFonts w:asciiTheme="minorHAnsi" w:hAnsiTheme="minorHAnsi" w:cstheme="minorHAnsi"/>
          <w:sz w:val="22"/>
          <w:szCs w:val="22"/>
        </w:rPr>
        <w:t>University of Michigan, Michigan Medicine, Department of Urology, Ann Arbor MI</w:t>
      </w:r>
    </w:p>
    <w:p w14:paraId="638593E7" w14:textId="77777777" w:rsidR="00F0353B" w:rsidRPr="00FB611D" w:rsidRDefault="00F0353B" w:rsidP="00F0353B">
      <w:pPr>
        <w:spacing w:line="480" w:lineRule="auto"/>
        <w:rPr>
          <w:rFonts w:asciiTheme="minorHAnsi" w:hAnsiTheme="minorHAnsi" w:cstheme="minorHAnsi"/>
          <w:sz w:val="22"/>
          <w:szCs w:val="22"/>
        </w:rPr>
      </w:pPr>
      <w:r>
        <w:rPr>
          <w:rFonts w:ascii="Calibri" w:eastAsia="Calibri" w:hAnsi="Calibri" w:cs="Calibri"/>
          <w:sz w:val="22"/>
          <w:szCs w:val="22"/>
          <w:vertAlign w:val="superscript"/>
        </w:rPr>
        <w:t>d</w:t>
      </w:r>
      <w:r>
        <w:rPr>
          <w:rFonts w:ascii="Calibri" w:eastAsia="Calibri" w:hAnsi="Calibri" w:cs="Calibri"/>
          <w:sz w:val="22"/>
          <w:szCs w:val="22"/>
        </w:rPr>
        <w:t xml:space="preserve"> University of Michigan Medical School, Department of Learning Health Sciences, Ann Arbor, MI </w:t>
      </w:r>
    </w:p>
    <w:p w14:paraId="5A620A79" w14:textId="77777777" w:rsidR="00F0353B" w:rsidRDefault="00F0353B" w:rsidP="00295F5C">
      <w:pPr>
        <w:spacing w:line="480" w:lineRule="auto"/>
        <w:rPr>
          <w:rFonts w:asciiTheme="minorHAnsi" w:hAnsiTheme="minorHAnsi" w:cstheme="minorHAnsi"/>
          <w:b/>
          <w:sz w:val="22"/>
          <w:szCs w:val="22"/>
        </w:rPr>
      </w:pPr>
    </w:p>
    <w:p w14:paraId="7C45613F" w14:textId="78186184" w:rsidR="00295F5C" w:rsidRPr="00DF3469" w:rsidRDefault="00295F5C" w:rsidP="00295F5C">
      <w:pPr>
        <w:spacing w:line="480" w:lineRule="auto"/>
        <w:rPr>
          <w:rFonts w:asciiTheme="minorHAnsi" w:hAnsiTheme="minorHAnsi" w:cstheme="minorHAnsi"/>
          <w:b/>
          <w:sz w:val="22"/>
          <w:szCs w:val="22"/>
          <w:u w:val="single"/>
        </w:rPr>
      </w:pPr>
      <w:r w:rsidRPr="00DF3469">
        <w:rPr>
          <w:rFonts w:asciiTheme="minorHAnsi" w:hAnsiTheme="minorHAnsi" w:cstheme="minorHAnsi"/>
          <w:b/>
          <w:sz w:val="22"/>
          <w:szCs w:val="22"/>
          <w:u w:val="single"/>
        </w:rPr>
        <w:t>Article Type</w:t>
      </w:r>
    </w:p>
    <w:p w14:paraId="0F3978BA" w14:textId="30A7B7B3" w:rsidR="00220465" w:rsidRPr="00DF3469" w:rsidRDefault="00295F5C" w:rsidP="00295F5C">
      <w:pPr>
        <w:spacing w:line="480" w:lineRule="auto"/>
        <w:rPr>
          <w:rFonts w:asciiTheme="minorHAnsi" w:hAnsiTheme="minorHAnsi" w:cstheme="minorHAnsi"/>
          <w:sz w:val="22"/>
          <w:szCs w:val="22"/>
        </w:rPr>
      </w:pPr>
      <w:r w:rsidRPr="00DF3469">
        <w:rPr>
          <w:rFonts w:asciiTheme="minorHAnsi" w:hAnsiTheme="minorHAnsi" w:cstheme="minorHAnsi"/>
          <w:sz w:val="22"/>
          <w:szCs w:val="22"/>
        </w:rPr>
        <w:t>Original Research</w:t>
      </w:r>
    </w:p>
    <w:p w14:paraId="67C2A3A0" w14:textId="173671F8" w:rsidR="00DF3469" w:rsidRPr="00DF3469" w:rsidRDefault="00DF3469">
      <w:pPr>
        <w:rPr>
          <w:rFonts w:asciiTheme="minorHAnsi" w:hAnsiTheme="minorHAnsi" w:cstheme="minorHAnsi"/>
          <w:sz w:val="22"/>
          <w:szCs w:val="22"/>
        </w:rPr>
      </w:pPr>
      <w:r w:rsidRPr="00DF3469">
        <w:rPr>
          <w:rFonts w:asciiTheme="minorHAnsi" w:hAnsiTheme="minorHAnsi" w:cstheme="minorHAnsi"/>
          <w:sz w:val="22"/>
          <w:szCs w:val="22"/>
        </w:rPr>
        <w:br w:type="page"/>
      </w:r>
    </w:p>
    <w:p w14:paraId="05607C63" w14:textId="5D8644F8" w:rsidR="00295F5C" w:rsidRPr="00DF3469" w:rsidRDefault="00295F5C" w:rsidP="00295F5C">
      <w:pPr>
        <w:spacing w:line="480" w:lineRule="auto"/>
        <w:rPr>
          <w:rFonts w:asciiTheme="minorHAnsi" w:hAnsiTheme="minorHAnsi" w:cstheme="minorHAnsi"/>
          <w:b/>
          <w:sz w:val="22"/>
          <w:szCs w:val="22"/>
          <w:u w:val="single"/>
        </w:rPr>
      </w:pPr>
      <w:r w:rsidRPr="00DF3469">
        <w:rPr>
          <w:rFonts w:asciiTheme="minorHAnsi" w:hAnsiTheme="minorHAnsi" w:cstheme="minorHAnsi"/>
          <w:b/>
          <w:sz w:val="22"/>
          <w:szCs w:val="22"/>
          <w:u w:val="single"/>
        </w:rPr>
        <w:lastRenderedPageBreak/>
        <w:t>Abs</w:t>
      </w:r>
      <w:bookmarkStart w:id="0" w:name="_GoBack"/>
      <w:bookmarkEnd w:id="0"/>
      <w:r w:rsidRPr="00DF3469">
        <w:rPr>
          <w:rFonts w:asciiTheme="minorHAnsi" w:hAnsiTheme="minorHAnsi" w:cstheme="minorHAnsi"/>
          <w:b/>
          <w:sz w:val="22"/>
          <w:szCs w:val="22"/>
          <w:u w:val="single"/>
        </w:rPr>
        <w:t>tract</w:t>
      </w:r>
    </w:p>
    <w:p w14:paraId="0310CB0B" w14:textId="34765101" w:rsidR="00295F5C" w:rsidRPr="00DF3469" w:rsidRDefault="00295F5C" w:rsidP="00295F5C">
      <w:pPr>
        <w:spacing w:line="480" w:lineRule="auto"/>
        <w:rPr>
          <w:rFonts w:asciiTheme="minorHAnsi" w:hAnsiTheme="minorHAnsi" w:cstheme="minorHAnsi"/>
          <w:b/>
          <w:sz w:val="22"/>
          <w:szCs w:val="22"/>
        </w:rPr>
      </w:pPr>
      <w:r w:rsidRPr="00DF3469">
        <w:rPr>
          <w:rFonts w:asciiTheme="minorHAnsi" w:hAnsiTheme="minorHAnsi" w:cstheme="minorHAnsi"/>
          <w:b/>
          <w:sz w:val="22"/>
          <w:szCs w:val="22"/>
        </w:rPr>
        <w:t xml:space="preserve">Background </w:t>
      </w:r>
    </w:p>
    <w:p w14:paraId="6C360A9C" w14:textId="2C937C99" w:rsidR="001D6A83" w:rsidRPr="00DF3469" w:rsidRDefault="004A61AE" w:rsidP="00295F5C">
      <w:pPr>
        <w:spacing w:line="480" w:lineRule="auto"/>
        <w:rPr>
          <w:rFonts w:asciiTheme="minorHAnsi" w:hAnsiTheme="minorHAnsi" w:cstheme="minorHAnsi"/>
          <w:sz w:val="22"/>
          <w:szCs w:val="22"/>
        </w:rPr>
      </w:pPr>
      <w:r w:rsidRPr="00DF3469">
        <w:rPr>
          <w:rFonts w:asciiTheme="minorHAnsi" w:hAnsiTheme="minorHAnsi" w:cstheme="minorHAnsi"/>
          <w:sz w:val="22"/>
          <w:szCs w:val="22"/>
        </w:rPr>
        <w:t>Urinary continence</w:t>
      </w:r>
      <w:r w:rsidR="001D6A83" w:rsidRPr="00DF3469">
        <w:rPr>
          <w:rFonts w:asciiTheme="minorHAnsi" w:hAnsiTheme="minorHAnsi" w:cstheme="minorHAnsi"/>
          <w:sz w:val="22"/>
          <w:szCs w:val="22"/>
        </w:rPr>
        <w:t xml:space="preserve"> after radical prostatectomy (RP) </w:t>
      </w:r>
      <w:r w:rsidR="00836DF5">
        <w:rPr>
          <w:rFonts w:asciiTheme="minorHAnsi" w:hAnsiTheme="minorHAnsi" w:cstheme="minorHAnsi"/>
          <w:sz w:val="22"/>
          <w:szCs w:val="22"/>
        </w:rPr>
        <w:t xml:space="preserve">is an important determinant of </w:t>
      </w:r>
      <w:r w:rsidR="001D6A83" w:rsidRPr="00DF3469">
        <w:rPr>
          <w:rFonts w:asciiTheme="minorHAnsi" w:hAnsiTheme="minorHAnsi" w:cstheme="minorHAnsi"/>
          <w:sz w:val="22"/>
          <w:szCs w:val="22"/>
        </w:rPr>
        <w:t xml:space="preserve">patient quality of life. Many clinical variables and </w:t>
      </w:r>
      <w:r w:rsidRPr="00DF3469">
        <w:rPr>
          <w:rFonts w:asciiTheme="minorHAnsi" w:hAnsiTheme="minorHAnsi" w:cstheme="minorHAnsi"/>
          <w:sz w:val="22"/>
          <w:szCs w:val="22"/>
        </w:rPr>
        <w:t xml:space="preserve">anatomic measures on </w:t>
      </w:r>
      <w:r w:rsidR="001D6A83" w:rsidRPr="00DF3469">
        <w:rPr>
          <w:rFonts w:asciiTheme="minorHAnsi" w:hAnsiTheme="minorHAnsi" w:cstheme="minorHAnsi"/>
          <w:sz w:val="22"/>
          <w:szCs w:val="22"/>
        </w:rPr>
        <w:t xml:space="preserve">prostate </w:t>
      </w:r>
      <w:r w:rsidR="00220465" w:rsidRPr="00DF3469">
        <w:rPr>
          <w:rFonts w:asciiTheme="minorHAnsi" w:hAnsiTheme="minorHAnsi" w:cstheme="minorHAnsi"/>
          <w:sz w:val="22"/>
          <w:szCs w:val="22"/>
        </w:rPr>
        <w:t>MRI</w:t>
      </w:r>
      <w:r w:rsidR="001D6A83" w:rsidRPr="00DF3469">
        <w:rPr>
          <w:rFonts w:asciiTheme="minorHAnsi" w:hAnsiTheme="minorHAnsi" w:cstheme="minorHAnsi"/>
          <w:sz w:val="22"/>
          <w:szCs w:val="22"/>
        </w:rPr>
        <w:t xml:space="preserve"> have been associated with continence outcomes, </w:t>
      </w:r>
      <w:r w:rsidRPr="00DF3469">
        <w:rPr>
          <w:rFonts w:asciiTheme="minorHAnsi" w:hAnsiTheme="minorHAnsi" w:cstheme="minorHAnsi"/>
          <w:sz w:val="22"/>
          <w:szCs w:val="22"/>
        </w:rPr>
        <w:t xml:space="preserve">but </w:t>
      </w:r>
      <w:r w:rsidR="001D6A83" w:rsidRPr="00DF3469">
        <w:rPr>
          <w:rFonts w:asciiTheme="minorHAnsi" w:hAnsiTheme="minorHAnsi" w:cstheme="minorHAnsi"/>
          <w:sz w:val="22"/>
          <w:szCs w:val="22"/>
        </w:rPr>
        <w:t>the</w:t>
      </w:r>
      <w:r w:rsidRPr="00DF3469">
        <w:rPr>
          <w:rFonts w:asciiTheme="minorHAnsi" w:hAnsiTheme="minorHAnsi" w:cstheme="minorHAnsi"/>
          <w:sz w:val="22"/>
          <w:szCs w:val="22"/>
        </w:rPr>
        <w:t>ir</w:t>
      </w:r>
      <w:r w:rsidR="001D6A83" w:rsidRPr="00DF3469">
        <w:rPr>
          <w:rFonts w:asciiTheme="minorHAnsi" w:hAnsiTheme="minorHAnsi" w:cstheme="minorHAnsi"/>
          <w:sz w:val="22"/>
          <w:szCs w:val="22"/>
        </w:rPr>
        <w:t xml:space="preserve"> effect size and </w:t>
      </w:r>
      <w:r w:rsidR="00156FA5" w:rsidRPr="00DF3469">
        <w:rPr>
          <w:rFonts w:asciiTheme="minorHAnsi" w:hAnsiTheme="minorHAnsi" w:cstheme="minorHAnsi"/>
          <w:sz w:val="22"/>
          <w:szCs w:val="22"/>
        </w:rPr>
        <w:t xml:space="preserve">role </w:t>
      </w:r>
      <w:r w:rsidR="001D6A83" w:rsidRPr="00DF3469">
        <w:rPr>
          <w:rFonts w:asciiTheme="minorHAnsi" w:hAnsiTheme="minorHAnsi" w:cstheme="minorHAnsi"/>
          <w:sz w:val="22"/>
          <w:szCs w:val="22"/>
        </w:rPr>
        <w:t xml:space="preserve">in routine clinical practice </w:t>
      </w:r>
      <w:r w:rsidRPr="00DF3469">
        <w:rPr>
          <w:rFonts w:asciiTheme="minorHAnsi" w:hAnsiTheme="minorHAnsi" w:cstheme="minorHAnsi"/>
          <w:sz w:val="22"/>
          <w:szCs w:val="22"/>
        </w:rPr>
        <w:t>remain</w:t>
      </w:r>
      <w:r w:rsidR="001D6A83" w:rsidRPr="00DF3469">
        <w:rPr>
          <w:rFonts w:asciiTheme="minorHAnsi" w:hAnsiTheme="minorHAnsi" w:cstheme="minorHAnsi"/>
          <w:sz w:val="22"/>
          <w:szCs w:val="22"/>
        </w:rPr>
        <w:t xml:space="preserve"> </w:t>
      </w:r>
      <w:r w:rsidR="00156FA5" w:rsidRPr="00DF3469">
        <w:rPr>
          <w:rFonts w:asciiTheme="minorHAnsi" w:hAnsiTheme="minorHAnsi" w:cstheme="minorHAnsi"/>
          <w:sz w:val="22"/>
          <w:szCs w:val="22"/>
        </w:rPr>
        <w:t>unclear</w:t>
      </w:r>
      <w:r w:rsidR="001D6A83" w:rsidRPr="00DF3469">
        <w:rPr>
          <w:rFonts w:asciiTheme="minorHAnsi" w:hAnsiTheme="minorHAnsi" w:cstheme="minorHAnsi"/>
          <w:sz w:val="22"/>
          <w:szCs w:val="22"/>
        </w:rPr>
        <w:t xml:space="preserve">. </w:t>
      </w:r>
    </w:p>
    <w:p w14:paraId="6F896F05" w14:textId="32CBDE5A" w:rsidR="00295F5C" w:rsidRPr="00DF3469" w:rsidRDefault="00295F5C" w:rsidP="00295F5C">
      <w:pPr>
        <w:spacing w:line="480" w:lineRule="auto"/>
        <w:rPr>
          <w:rFonts w:asciiTheme="minorHAnsi" w:hAnsiTheme="minorHAnsi" w:cstheme="minorHAnsi"/>
          <w:b/>
          <w:sz w:val="22"/>
          <w:szCs w:val="22"/>
        </w:rPr>
      </w:pPr>
      <w:r w:rsidRPr="00DF3469">
        <w:rPr>
          <w:rFonts w:asciiTheme="minorHAnsi" w:hAnsiTheme="minorHAnsi" w:cstheme="minorHAnsi"/>
          <w:b/>
          <w:sz w:val="22"/>
          <w:szCs w:val="22"/>
        </w:rPr>
        <w:t xml:space="preserve">Purpose </w:t>
      </w:r>
    </w:p>
    <w:p w14:paraId="521DF9FC" w14:textId="206CD45F" w:rsidR="001D6A83" w:rsidRPr="00DF3469" w:rsidRDefault="001D6A83" w:rsidP="00295F5C">
      <w:pPr>
        <w:spacing w:line="480" w:lineRule="auto"/>
        <w:rPr>
          <w:rFonts w:asciiTheme="minorHAnsi" w:hAnsiTheme="minorHAnsi" w:cstheme="minorHAnsi"/>
          <w:sz w:val="22"/>
          <w:szCs w:val="22"/>
        </w:rPr>
      </w:pPr>
      <w:r w:rsidRPr="00DF3469">
        <w:rPr>
          <w:rFonts w:asciiTheme="minorHAnsi" w:hAnsiTheme="minorHAnsi" w:cstheme="minorHAnsi"/>
          <w:sz w:val="22"/>
          <w:szCs w:val="22"/>
        </w:rPr>
        <w:t xml:space="preserve">To evaluate the </w:t>
      </w:r>
      <w:r w:rsidR="00541FD5" w:rsidRPr="00DF3469">
        <w:rPr>
          <w:rFonts w:asciiTheme="minorHAnsi" w:hAnsiTheme="minorHAnsi" w:cstheme="minorHAnsi"/>
          <w:sz w:val="22"/>
          <w:szCs w:val="22"/>
        </w:rPr>
        <w:t>predicti</w:t>
      </w:r>
      <w:r w:rsidR="001C7509" w:rsidRPr="00DF3469">
        <w:rPr>
          <w:rFonts w:asciiTheme="minorHAnsi" w:hAnsiTheme="minorHAnsi" w:cstheme="minorHAnsi"/>
          <w:sz w:val="22"/>
          <w:szCs w:val="22"/>
        </w:rPr>
        <w:t>ve ability</w:t>
      </w:r>
      <w:r w:rsidR="00541FD5" w:rsidRPr="00DF3469">
        <w:rPr>
          <w:rFonts w:asciiTheme="minorHAnsi" w:hAnsiTheme="minorHAnsi" w:cstheme="minorHAnsi"/>
          <w:sz w:val="22"/>
          <w:szCs w:val="22"/>
        </w:rPr>
        <w:t xml:space="preserve"> and inter-rater agreement of MRI-based anatomic measurements of post-RP continence when combined with clinical multivariable models</w:t>
      </w:r>
      <w:r w:rsidRPr="00DF3469">
        <w:rPr>
          <w:rFonts w:asciiTheme="minorHAnsi" w:hAnsiTheme="minorHAnsi" w:cstheme="minorHAnsi"/>
          <w:sz w:val="22"/>
          <w:szCs w:val="22"/>
        </w:rPr>
        <w:t xml:space="preserve">. </w:t>
      </w:r>
    </w:p>
    <w:p w14:paraId="395F9845" w14:textId="1B4C0603" w:rsidR="00295F5C" w:rsidRPr="00DF3469" w:rsidRDefault="00295F5C" w:rsidP="00295F5C">
      <w:pPr>
        <w:spacing w:line="480" w:lineRule="auto"/>
        <w:rPr>
          <w:rFonts w:asciiTheme="minorHAnsi" w:hAnsiTheme="minorHAnsi" w:cstheme="minorHAnsi"/>
          <w:b/>
          <w:sz w:val="22"/>
          <w:szCs w:val="22"/>
        </w:rPr>
      </w:pPr>
      <w:r w:rsidRPr="00DF3469">
        <w:rPr>
          <w:rFonts w:asciiTheme="minorHAnsi" w:hAnsiTheme="minorHAnsi" w:cstheme="minorHAnsi"/>
          <w:b/>
          <w:sz w:val="22"/>
          <w:szCs w:val="22"/>
        </w:rPr>
        <w:t xml:space="preserve">Methods </w:t>
      </w:r>
    </w:p>
    <w:p w14:paraId="0466C01F" w14:textId="27694F50" w:rsidR="001D6A83" w:rsidRPr="00DF3469" w:rsidRDefault="001D6A83">
      <w:pPr>
        <w:spacing w:line="480" w:lineRule="auto"/>
        <w:rPr>
          <w:rFonts w:asciiTheme="minorHAnsi" w:hAnsiTheme="minorHAnsi" w:cstheme="minorHAnsi"/>
          <w:sz w:val="22"/>
          <w:szCs w:val="22"/>
        </w:rPr>
      </w:pPr>
      <w:r w:rsidRPr="00DF3469">
        <w:rPr>
          <w:rFonts w:asciiTheme="minorHAnsi" w:hAnsiTheme="minorHAnsi" w:cstheme="minorHAnsi"/>
          <w:sz w:val="22"/>
          <w:szCs w:val="22"/>
        </w:rPr>
        <w:t xml:space="preserve">In this retrospective </w:t>
      </w:r>
      <w:r w:rsidR="00541FD5" w:rsidRPr="00DF3469">
        <w:rPr>
          <w:rFonts w:asciiTheme="minorHAnsi" w:hAnsiTheme="minorHAnsi" w:cstheme="minorHAnsi"/>
          <w:sz w:val="22"/>
          <w:szCs w:val="22"/>
        </w:rPr>
        <w:t xml:space="preserve">cohort </w:t>
      </w:r>
      <w:r w:rsidRPr="00DF3469">
        <w:rPr>
          <w:rFonts w:asciiTheme="minorHAnsi" w:hAnsiTheme="minorHAnsi" w:cstheme="minorHAnsi"/>
          <w:sz w:val="22"/>
          <w:szCs w:val="22"/>
        </w:rPr>
        <w:t>study,</w:t>
      </w:r>
      <w:r w:rsidR="001C7509" w:rsidRPr="00DF3469">
        <w:rPr>
          <w:rFonts w:asciiTheme="minorHAnsi" w:hAnsiTheme="minorHAnsi" w:cstheme="minorHAnsi"/>
          <w:sz w:val="22"/>
          <w:szCs w:val="22"/>
        </w:rPr>
        <w:t xml:space="preserve"> </w:t>
      </w:r>
      <w:r w:rsidRPr="00DF3469">
        <w:rPr>
          <w:rFonts w:asciiTheme="minorHAnsi" w:hAnsiTheme="minorHAnsi" w:cstheme="minorHAnsi"/>
          <w:sz w:val="22"/>
          <w:szCs w:val="22"/>
        </w:rPr>
        <w:t>continence outcomes</w:t>
      </w:r>
      <w:r w:rsidR="00EE1496" w:rsidRPr="00DF3469">
        <w:rPr>
          <w:rFonts w:asciiTheme="minorHAnsi" w:hAnsiTheme="minorHAnsi" w:cstheme="minorHAnsi"/>
          <w:sz w:val="22"/>
          <w:szCs w:val="22"/>
        </w:rPr>
        <w:t xml:space="preserve"> were evaluated</w:t>
      </w:r>
      <w:r w:rsidRPr="00DF3469">
        <w:rPr>
          <w:rFonts w:asciiTheme="minorHAnsi" w:hAnsiTheme="minorHAnsi" w:cstheme="minorHAnsi"/>
          <w:sz w:val="22"/>
          <w:szCs w:val="22"/>
        </w:rPr>
        <w:t xml:space="preserve"> in </w:t>
      </w:r>
      <w:r w:rsidR="001C7509" w:rsidRPr="00DF3469">
        <w:rPr>
          <w:rFonts w:asciiTheme="minorHAnsi" w:hAnsiTheme="minorHAnsi" w:cstheme="minorHAnsi"/>
          <w:sz w:val="22"/>
          <w:szCs w:val="22"/>
        </w:rPr>
        <w:t xml:space="preserve">589 </w:t>
      </w:r>
      <w:r w:rsidRPr="00DF3469">
        <w:rPr>
          <w:rFonts w:asciiTheme="minorHAnsi" w:hAnsiTheme="minorHAnsi" w:cstheme="minorHAnsi"/>
          <w:sz w:val="22"/>
          <w:szCs w:val="22"/>
        </w:rPr>
        <w:t xml:space="preserve">adult men who </w:t>
      </w:r>
      <w:r w:rsidR="00EE1496" w:rsidRPr="00DF3469">
        <w:rPr>
          <w:rFonts w:asciiTheme="minorHAnsi" w:hAnsiTheme="minorHAnsi" w:cstheme="minorHAnsi"/>
          <w:sz w:val="22"/>
          <w:szCs w:val="22"/>
        </w:rPr>
        <w:t>underwent RP</w:t>
      </w:r>
      <w:r w:rsidR="00E25449" w:rsidRPr="00DF3469">
        <w:rPr>
          <w:rFonts w:asciiTheme="minorHAnsi" w:hAnsiTheme="minorHAnsi" w:cstheme="minorHAnsi"/>
          <w:sz w:val="22"/>
          <w:szCs w:val="22"/>
        </w:rPr>
        <w:t xml:space="preserve"> </w:t>
      </w:r>
      <w:r w:rsidR="00220465" w:rsidRPr="00DF3469">
        <w:rPr>
          <w:rFonts w:asciiTheme="minorHAnsi" w:hAnsiTheme="minorHAnsi" w:cstheme="minorHAnsi"/>
          <w:sz w:val="22"/>
          <w:szCs w:val="22"/>
        </w:rPr>
        <w:t>from</w:t>
      </w:r>
      <w:r w:rsidR="00E25449" w:rsidRPr="00DF3469">
        <w:rPr>
          <w:rFonts w:asciiTheme="minorHAnsi" w:hAnsiTheme="minorHAnsi" w:cstheme="minorHAnsi"/>
          <w:sz w:val="22"/>
          <w:szCs w:val="22"/>
        </w:rPr>
        <w:t xml:space="preserve"> </w:t>
      </w:r>
      <w:r w:rsidR="00492872">
        <w:rPr>
          <w:rFonts w:asciiTheme="minorHAnsi" w:hAnsiTheme="minorHAnsi" w:cstheme="minorHAnsi"/>
          <w:sz w:val="22"/>
          <w:szCs w:val="22"/>
        </w:rPr>
        <w:t>8/</w:t>
      </w:r>
      <w:r w:rsidR="00E25449" w:rsidRPr="00DF3469">
        <w:rPr>
          <w:rFonts w:asciiTheme="minorHAnsi" w:hAnsiTheme="minorHAnsi" w:cstheme="minorHAnsi"/>
          <w:sz w:val="22"/>
          <w:szCs w:val="22"/>
        </w:rPr>
        <w:t xml:space="preserve">2015 </w:t>
      </w:r>
      <w:r w:rsidR="00220465" w:rsidRPr="00DF3469">
        <w:rPr>
          <w:rFonts w:asciiTheme="minorHAnsi" w:hAnsiTheme="minorHAnsi" w:cstheme="minorHAnsi"/>
          <w:sz w:val="22"/>
          <w:szCs w:val="22"/>
        </w:rPr>
        <w:t xml:space="preserve">- </w:t>
      </w:r>
      <w:r w:rsidR="00492872">
        <w:rPr>
          <w:rFonts w:asciiTheme="minorHAnsi" w:hAnsiTheme="minorHAnsi" w:cstheme="minorHAnsi"/>
          <w:sz w:val="22"/>
          <w:szCs w:val="22"/>
        </w:rPr>
        <w:t>10/</w:t>
      </w:r>
      <w:r w:rsidR="00220465" w:rsidRPr="00DF3469">
        <w:rPr>
          <w:rFonts w:asciiTheme="minorHAnsi" w:hAnsiTheme="minorHAnsi" w:cstheme="minorHAnsi"/>
          <w:sz w:val="22"/>
          <w:szCs w:val="22"/>
        </w:rPr>
        <w:t>2019</w:t>
      </w:r>
      <w:r w:rsidR="001C7509" w:rsidRPr="00DF3469">
        <w:rPr>
          <w:rFonts w:asciiTheme="minorHAnsi" w:hAnsiTheme="minorHAnsi" w:cstheme="minorHAnsi"/>
          <w:sz w:val="22"/>
          <w:szCs w:val="22"/>
        </w:rPr>
        <w:t>. All men</w:t>
      </w:r>
      <w:r w:rsidR="00EE1496" w:rsidRPr="00DF3469">
        <w:rPr>
          <w:rFonts w:asciiTheme="minorHAnsi" w:hAnsiTheme="minorHAnsi" w:cstheme="minorHAnsi"/>
          <w:sz w:val="22"/>
          <w:szCs w:val="22"/>
        </w:rPr>
        <w:t xml:space="preserve"> </w:t>
      </w:r>
      <w:r w:rsidR="001C7509" w:rsidRPr="00DF3469">
        <w:rPr>
          <w:rFonts w:asciiTheme="minorHAnsi" w:hAnsiTheme="minorHAnsi" w:cstheme="minorHAnsi"/>
          <w:sz w:val="22"/>
          <w:szCs w:val="22"/>
        </w:rPr>
        <w:t>prospectively completed pre- and post-RP validated survey instruments of urinary continence</w:t>
      </w:r>
      <w:r w:rsidRPr="00DF3469">
        <w:rPr>
          <w:rFonts w:asciiTheme="minorHAnsi" w:hAnsiTheme="minorHAnsi" w:cstheme="minorHAnsi"/>
          <w:sz w:val="22"/>
          <w:szCs w:val="22"/>
        </w:rPr>
        <w:t xml:space="preserve">. </w:t>
      </w:r>
      <w:r w:rsidR="001C7509" w:rsidRPr="00DF3469">
        <w:rPr>
          <w:rFonts w:asciiTheme="minorHAnsi" w:hAnsiTheme="minorHAnsi" w:cstheme="minorHAnsi"/>
          <w:sz w:val="22"/>
          <w:szCs w:val="22"/>
        </w:rPr>
        <w:t xml:space="preserve">Pre-operative </w:t>
      </w:r>
      <w:r w:rsidRPr="00DF3469">
        <w:rPr>
          <w:rFonts w:asciiTheme="minorHAnsi" w:hAnsiTheme="minorHAnsi" w:cstheme="minorHAnsi"/>
          <w:sz w:val="22"/>
          <w:szCs w:val="22"/>
        </w:rPr>
        <w:t xml:space="preserve">MRI-based anatomic measures </w:t>
      </w:r>
      <w:r w:rsidR="00DF3469" w:rsidRPr="00DF3469">
        <w:rPr>
          <w:rFonts w:asciiTheme="minorHAnsi" w:hAnsiTheme="minorHAnsi" w:cstheme="minorHAnsi"/>
          <w:sz w:val="22"/>
          <w:szCs w:val="22"/>
        </w:rPr>
        <w:t>(</w:t>
      </w:r>
      <w:r w:rsidR="00E666F9">
        <w:rPr>
          <w:rFonts w:asciiTheme="minorHAnsi" w:hAnsiTheme="minorHAnsi" w:cstheme="minorHAnsi"/>
          <w:sz w:val="22"/>
          <w:szCs w:val="22"/>
        </w:rPr>
        <w:t xml:space="preserve">coronal </w:t>
      </w:r>
      <w:r w:rsidR="00DF3469" w:rsidRPr="00B97F85">
        <w:rPr>
          <w:rFonts w:asciiTheme="minorHAnsi" w:hAnsiTheme="minorHAnsi" w:cstheme="minorHAnsi"/>
          <w:sz w:val="22"/>
          <w:szCs w:val="22"/>
        </w:rPr>
        <w:t xml:space="preserve">membranous urethra length [MUL], inner </w:t>
      </w:r>
      <w:r w:rsidR="00492872">
        <w:rPr>
          <w:rFonts w:asciiTheme="minorHAnsi" w:hAnsiTheme="minorHAnsi" w:cstheme="minorHAnsi"/>
          <w:sz w:val="22"/>
          <w:szCs w:val="22"/>
        </w:rPr>
        <w:t>and</w:t>
      </w:r>
      <w:r w:rsidR="00DF3469" w:rsidRPr="00B97F85">
        <w:rPr>
          <w:rFonts w:asciiTheme="minorHAnsi" w:hAnsiTheme="minorHAnsi" w:cstheme="minorHAnsi"/>
          <w:sz w:val="22"/>
          <w:szCs w:val="22"/>
        </w:rPr>
        <w:t xml:space="preserve"> outer levator distance, angle between membranous urethra and prostatic axis, </w:t>
      </w:r>
      <w:proofErr w:type="spellStart"/>
      <w:r w:rsidR="00DF3469" w:rsidRPr="00B97F85">
        <w:rPr>
          <w:rFonts w:asciiTheme="minorHAnsi" w:hAnsiTheme="minorHAnsi" w:cstheme="minorHAnsi"/>
          <w:sz w:val="22"/>
          <w:szCs w:val="22"/>
        </w:rPr>
        <w:t>pubourethral</w:t>
      </w:r>
      <w:proofErr w:type="spellEnd"/>
      <w:r w:rsidR="00DF3469" w:rsidRPr="00B97F85">
        <w:rPr>
          <w:rFonts w:asciiTheme="minorHAnsi" w:hAnsiTheme="minorHAnsi" w:cstheme="minorHAnsi"/>
          <w:sz w:val="22"/>
          <w:szCs w:val="22"/>
        </w:rPr>
        <w:t xml:space="preserve"> angle, prostate volume) </w:t>
      </w:r>
      <w:r w:rsidRPr="00DF3469">
        <w:rPr>
          <w:rFonts w:asciiTheme="minorHAnsi" w:hAnsiTheme="minorHAnsi" w:cstheme="minorHAnsi"/>
          <w:sz w:val="22"/>
          <w:szCs w:val="22"/>
        </w:rPr>
        <w:t>were obtained retrospectively</w:t>
      </w:r>
      <w:r w:rsidR="00156FA5" w:rsidRPr="00DF3469">
        <w:rPr>
          <w:rFonts w:asciiTheme="minorHAnsi" w:hAnsiTheme="minorHAnsi" w:cstheme="minorHAnsi"/>
          <w:sz w:val="22"/>
          <w:szCs w:val="22"/>
        </w:rPr>
        <w:t xml:space="preserve"> by 4 trained abdominal radiologists</w:t>
      </w:r>
      <w:r w:rsidRPr="00DF3469">
        <w:rPr>
          <w:rFonts w:asciiTheme="minorHAnsi" w:hAnsiTheme="minorHAnsi" w:cstheme="minorHAnsi"/>
          <w:sz w:val="22"/>
          <w:szCs w:val="22"/>
        </w:rPr>
        <w:t xml:space="preserve">. Logistic regression models were developed with clinical variables alone, MRI variables alone, and combined variables </w:t>
      </w:r>
      <w:r w:rsidR="00492872" w:rsidRPr="00DF3469">
        <w:rPr>
          <w:rFonts w:asciiTheme="minorHAnsi" w:hAnsiTheme="minorHAnsi" w:cstheme="minorHAnsi"/>
          <w:sz w:val="22"/>
          <w:szCs w:val="22"/>
        </w:rPr>
        <w:t>at 3-, 6-, and 12-months post-RP</w:t>
      </w:r>
      <w:r w:rsidRPr="00DF3469">
        <w:rPr>
          <w:rFonts w:asciiTheme="minorHAnsi" w:hAnsiTheme="minorHAnsi" w:cstheme="minorHAnsi"/>
          <w:sz w:val="22"/>
          <w:szCs w:val="22"/>
        </w:rPr>
        <w:t>. Interrater agreement</w:t>
      </w:r>
      <w:r w:rsidR="00156FA5" w:rsidRPr="00DF3469">
        <w:rPr>
          <w:rFonts w:asciiTheme="minorHAnsi" w:hAnsiTheme="minorHAnsi" w:cstheme="minorHAnsi"/>
          <w:sz w:val="22"/>
          <w:szCs w:val="22"/>
        </w:rPr>
        <w:t xml:space="preserve"> of </w:t>
      </w:r>
      <w:r w:rsidR="001C7509" w:rsidRPr="00DF3469">
        <w:rPr>
          <w:rFonts w:asciiTheme="minorHAnsi" w:hAnsiTheme="minorHAnsi" w:cstheme="minorHAnsi"/>
          <w:sz w:val="22"/>
          <w:szCs w:val="22"/>
        </w:rPr>
        <w:t>MRI variables</w:t>
      </w:r>
      <w:r w:rsidRPr="00DF3469">
        <w:rPr>
          <w:rFonts w:asciiTheme="minorHAnsi" w:hAnsiTheme="minorHAnsi" w:cstheme="minorHAnsi"/>
          <w:sz w:val="22"/>
          <w:szCs w:val="22"/>
        </w:rPr>
        <w:t xml:space="preserve"> was assessed using intraclass correlation coefficients.  </w:t>
      </w:r>
    </w:p>
    <w:p w14:paraId="1F388EE1" w14:textId="004575B5" w:rsidR="00295F5C" w:rsidRPr="00DF3469" w:rsidRDefault="00295F5C" w:rsidP="00295F5C">
      <w:pPr>
        <w:spacing w:line="480" w:lineRule="auto"/>
        <w:rPr>
          <w:rFonts w:asciiTheme="minorHAnsi" w:hAnsiTheme="minorHAnsi" w:cstheme="minorHAnsi"/>
          <w:b/>
          <w:sz w:val="22"/>
          <w:szCs w:val="22"/>
        </w:rPr>
      </w:pPr>
      <w:r w:rsidRPr="00DF3469">
        <w:rPr>
          <w:rFonts w:asciiTheme="minorHAnsi" w:hAnsiTheme="minorHAnsi" w:cstheme="minorHAnsi"/>
          <w:b/>
          <w:sz w:val="22"/>
          <w:szCs w:val="22"/>
        </w:rPr>
        <w:t xml:space="preserve">Results </w:t>
      </w:r>
    </w:p>
    <w:p w14:paraId="7EC40DFA" w14:textId="0E147320" w:rsidR="00DF3469" w:rsidRPr="001F5CEC" w:rsidRDefault="001C7509" w:rsidP="00295F5C">
      <w:pPr>
        <w:spacing w:line="480" w:lineRule="auto"/>
        <w:rPr>
          <w:rFonts w:asciiTheme="minorHAnsi" w:hAnsiTheme="minorHAnsi" w:cstheme="minorHAnsi"/>
          <w:sz w:val="22"/>
          <w:szCs w:val="22"/>
        </w:rPr>
      </w:pPr>
      <w:r w:rsidRPr="00B97F85">
        <w:rPr>
          <w:rFonts w:asciiTheme="minorHAnsi" w:hAnsiTheme="minorHAnsi" w:cstheme="minorHAnsi"/>
          <w:sz w:val="22"/>
          <w:szCs w:val="22"/>
        </w:rPr>
        <w:t>Mean</w:t>
      </w:r>
      <w:r w:rsidR="00E25449" w:rsidRPr="00B97F85">
        <w:rPr>
          <w:rFonts w:asciiTheme="minorHAnsi" w:hAnsiTheme="minorHAnsi" w:cstheme="minorHAnsi"/>
          <w:sz w:val="22"/>
          <w:szCs w:val="22"/>
        </w:rPr>
        <w:t xml:space="preserve"> </w:t>
      </w:r>
      <w:r w:rsidR="00DF3469" w:rsidRPr="00B97F85">
        <w:rPr>
          <w:rFonts w:asciiTheme="minorHAnsi" w:hAnsiTheme="minorHAnsi" w:cstheme="minorHAnsi"/>
          <w:sz w:val="22"/>
          <w:szCs w:val="22"/>
        </w:rPr>
        <w:t xml:space="preserve">patient </w:t>
      </w:r>
      <w:r w:rsidR="00E25449" w:rsidRPr="00B97F85">
        <w:rPr>
          <w:rFonts w:asciiTheme="minorHAnsi" w:hAnsiTheme="minorHAnsi" w:cstheme="minorHAnsi"/>
          <w:sz w:val="22"/>
          <w:szCs w:val="22"/>
        </w:rPr>
        <w:t>age</w:t>
      </w:r>
      <w:r w:rsidRPr="00B97F85">
        <w:rPr>
          <w:rFonts w:asciiTheme="minorHAnsi" w:hAnsiTheme="minorHAnsi" w:cstheme="minorHAnsi"/>
          <w:sz w:val="22"/>
          <w:szCs w:val="22"/>
        </w:rPr>
        <w:t xml:space="preserve"> was</w:t>
      </w:r>
      <w:r w:rsidR="00E25449" w:rsidRPr="00B97F85">
        <w:rPr>
          <w:rFonts w:asciiTheme="minorHAnsi" w:hAnsiTheme="minorHAnsi" w:cstheme="minorHAnsi"/>
          <w:sz w:val="22"/>
          <w:szCs w:val="22"/>
        </w:rPr>
        <w:t xml:space="preserve"> 63 ± 7 </w:t>
      </w:r>
      <w:r w:rsidRPr="00B97F85">
        <w:rPr>
          <w:rFonts w:asciiTheme="minorHAnsi" w:hAnsiTheme="minorHAnsi" w:cstheme="minorHAnsi"/>
          <w:sz w:val="22"/>
          <w:szCs w:val="22"/>
        </w:rPr>
        <w:t>years</w:t>
      </w:r>
      <w:r w:rsidR="00A11428" w:rsidRPr="00B97F85">
        <w:rPr>
          <w:rFonts w:asciiTheme="minorHAnsi" w:hAnsiTheme="minorHAnsi" w:cstheme="minorHAnsi"/>
          <w:sz w:val="22"/>
          <w:szCs w:val="22"/>
        </w:rPr>
        <w:t xml:space="preserve">. </w:t>
      </w:r>
      <w:r w:rsidR="00E666F9">
        <w:rPr>
          <w:rFonts w:asciiTheme="minorHAnsi" w:hAnsiTheme="minorHAnsi" w:cstheme="minorHAnsi"/>
          <w:sz w:val="22"/>
          <w:szCs w:val="22"/>
        </w:rPr>
        <w:t xml:space="preserve">The proportion of incontinent patients was 0.2% at baseline, 27.4% at 3 months, 13.5% at 6 months, and 8.7% at 12 months. </w:t>
      </w:r>
      <w:r w:rsidR="00DF3469">
        <w:rPr>
          <w:rFonts w:asciiTheme="minorHAnsi" w:hAnsiTheme="minorHAnsi" w:cstheme="minorHAnsi"/>
          <w:sz w:val="22"/>
          <w:szCs w:val="22"/>
        </w:rPr>
        <w:t>L</w:t>
      </w:r>
      <w:r w:rsidR="00DF3469" w:rsidRPr="00B97F85">
        <w:rPr>
          <w:rFonts w:asciiTheme="minorHAnsi" w:hAnsiTheme="minorHAnsi" w:cstheme="minorHAnsi"/>
          <w:sz w:val="22"/>
          <w:szCs w:val="22"/>
        </w:rPr>
        <w:t xml:space="preserve">onger </w:t>
      </w:r>
      <w:r w:rsidR="00582C23" w:rsidRPr="00B97F85">
        <w:rPr>
          <w:rFonts w:asciiTheme="minorHAnsi" w:hAnsiTheme="minorHAnsi" w:cstheme="minorHAnsi"/>
          <w:sz w:val="22"/>
          <w:szCs w:val="22"/>
        </w:rPr>
        <w:t xml:space="preserve">coronal </w:t>
      </w:r>
      <w:r w:rsidR="00DF3469" w:rsidRPr="00B97F85">
        <w:rPr>
          <w:rFonts w:asciiTheme="minorHAnsi" w:hAnsiTheme="minorHAnsi" w:cstheme="minorHAnsi"/>
          <w:sz w:val="22"/>
          <w:szCs w:val="22"/>
        </w:rPr>
        <w:t>MUL</w:t>
      </w:r>
      <w:r w:rsidR="00582C23" w:rsidRPr="00B97F85">
        <w:rPr>
          <w:rFonts w:asciiTheme="minorHAnsi" w:hAnsiTheme="minorHAnsi" w:cstheme="minorHAnsi"/>
          <w:sz w:val="22"/>
          <w:szCs w:val="22"/>
        </w:rPr>
        <w:t xml:space="preserve"> </w:t>
      </w:r>
      <w:r w:rsidR="00DF3469" w:rsidRPr="00B97F85">
        <w:rPr>
          <w:rFonts w:asciiTheme="minorHAnsi" w:hAnsiTheme="minorHAnsi" w:cstheme="minorHAnsi"/>
          <w:sz w:val="22"/>
          <w:szCs w:val="22"/>
        </w:rPr>
        <w:t>significantly decreased the odds of post-RP incontinence (</w:t>
      </w:r>
      <w:r w:rsidR="00DF3469" w:rsidRPr="002610DC">
        <w:rPr>
          <w:rFonts w:asciiTheme="minorHAnsi" w:hAnsiTheme="minorHAnsi" w:cstheme="minorHAnsi"/>
          <w:sz w:val="22"/>
          <w:szCs w:val="22"/>
        </w:rPr>
        <w:t xml:space="preserve">multivariable </w:t>
      </w:r>
      <w:r w:rsidR="00DF3469" w:rsidRPr="00B97F85">
        <w:rPr>
          <w:rFonts w:asciiTheme="minorHAnsi" w:hAnsiTheme="minorHAnsi" w:cstheme="minorHAnsi"/>
          <w:sz w:val="22"/>
          <w:szCs w:val="22"/>
        </w:rPr>
        <w:t>odds ratio:</w:t>
      </w:r>
      <w:r w:rsidR="007004DA" w:rsidRPr="00B97F85">
        <w:rPr>
          <w:rFonts w:asciiTheme="minorHAnsi" w:hAnsiTheme="minorHAnsi" w:cstheme="minorHAnsi"/>
          <w:sz w:val="22"/>
          <w:szCs w:val="22"/>
        </w:rPr>
        <w:t xml:space="preserve"> </w:t>
      </w:r>
      <w:r w:rsidR="00582C23" w:rsidRPr="00B97F85">
        <w:rPr>
          <w:rFonts w:asciiTheme="minorHAnsi" w:hAnsiTheme="minorHAnsi" w:cstheme="minorHAnsi"/>
          <w:sz w:val="22"/>
          <w:szCs w:val="22"/>
        </w:rPr>
        <w:t>0.79-0.89</w:t>
      </w:r>
      <w:r w:rsidR="00DF3469" w:rsidRPr="00B97F85">
        <w:rPr>
          <w:rFonts w:asciiTheme="minorHAnsi" w:hAnsiTheme="minorHAnsi" w:cstheme="minorHAnsi"/>
          <w:sz w:val="22"/>
          <w:szCs w:val="22"/>
        </w:rPr>
        <w:t>/mm, all p&lt;0.01)</w:t>
      </w:r>
      <w:r w:rsidR="00DF3469">
        <w:rPr>
          <w:rFonts w:asciiTheme="minorHAnsi" w:hAnsiTheme="minorHAnsi" w:cstheme="minorHAnsi"/>
          <w:sz w:val="22"/>
          <w:szCs w:val="22"/>
        </w:rPr>
        <w:t xml:space="preserve"> in all clinical models that incorporated MRI predictors</w:t>
      </w:r>
      <w:r w:rsidR="00582C23" w:rsidRPr="00B97F85">
        <w:rPr>
          <w:rFonts w:asciiTheme="minorHAnsi" w:hAnsiTheme="minorHAnsi" w:cstheme="minorHAnsi"/>
          <w:sz w:val="22"/>
          <w:szCs w:val="22"/>
        </w:rPr>
        <w:t xml:space="preserve">. No other MRI variables were </w:t>
      </w:r>
      <w:r w:rsidR="00DF3469" w:rsidRPr="00B97F85">
        <w:rPr>
          <w:rFonts w:asciiTheme="minorHAnsi" w:hAnsiTheme="minorHAnsi" w:cstheme="minorHAnsi"/>
          <w:sz w:val="22"/>
          <w:szCs w:val="22"/>
        </w:rPr>
        <w:t xml:space="preserve">significant </w:t>
      </w:r>
      <w:r w:rsidR="00770100" w:rsidRPr="002610DC">
        <w:rPr>
          <w:rFonts w:asciiTheme="minorHAnsi" w:hAnsiTheme="minorHAnsi" w:cstheme="minorHAnsi"/>
          <w:sz w:val="22"/>
          <w:szCs w:val="22"/>
        </w:rPr>
        <w:t xml:space="preserve">multivariable </w:t>
      </w:r>
      <w:r w:rsidR="00DF3469" w:rsidRPr="00B97F85">
        <w:rPr>
          <w:rFonts w:asciiTheme="minorHAnsi" w:hAnsiTheme="minorHAnsi" w:cstheme="minorHAnsi"/>
          <w:sz w:val="22"/>
          <w:szCs w:val="22"/>
        </w:rPr>
        <w:t>predictors</w:t>
      </w:r>
      <w:r w:rsidR="00582C23" w:rsidRPr="00B97F85">
        <w:rPr>
          <w:rFonts w:asciiTheme="minorHAnsi" w:hAnsiTheme="minorHAnsi" w:cstheme="minorHAnsi"/>
          <w:sz w:val="22"/>
          <w:szCs w:val="22"/>
        </w:rPr>
        <w:t>.</w:t>
      </w:r>
      <w:r w:rsidR="00770100">
        <w:rPr>
          <w:rFonts w:asciiTheme="minorHAnsi" w:hAnsiTheme="minorHAnsi" w:cstheme="minorHAnsi"/>
          <w:sz w:val="22"/>
          <w:szCs w:val="22"/>
        </w:rPr>
        <w:t xml:space="preserve"> </w:t>
      </w:r>
      <w:r w:rsidR="00582C23" w:rsidRPr="00B97F85">
        <w:rPr>
          <w:rFonts w:asciiTheme="minorHAnsi" w:hAnsiTheme="minorHAnsi" w:cstheme="minorHAnsi"/>
          <w:sz w:val="22"/>
          <w:szCs w:val="22"/>
        </w:rPr>
        <w:t>Age and</w:t>
      </w:r>
      <w:r w:rsidR="00DF3469" w:rsidRPr="00B97F85">
        <w:rPr>
          <w:rFonts w:asciiTheme="minorHAnsi" w:hAnsiTheme="minorHAnsi" w:cstheme="minorHAnsi"/>
          <w:sz w:val="22"/>
          <w:szCs w:val="22"/>
        </w:rPr>
        <w:t xml:space="preserve"> baseline</w:t>
      </w:r>
      <w:r w:rsidR="00582C23" w:rsidRPr="00B97F85">
        <w:rPr>
          <w:rFonts w:asciiTheme="minorHAnsi" w:hAnsiTheme="minorHAnsi" w:cstheme="minorHAnsi"/>
          <w:sz w:val="22"/>
          <w:szCs w:val="22"/>
        </w:rPr>
        <w:t xml:space="preserve"> urinary function score were the only significant clinical variables at every time point. </w:t>
      </w:r>
      <w:r w:rsidR="00DF3469" w:rsidRPr="00B97F85">
        <w:rPr>
          <w:rFonts w:asciiTheme="minorHAnsi" w:hAnsiTheme="minorHAnsi" w:cstheme="minorHAnsi"/>
          <w:sz w:val="22"/>
          <w:szCs w:val="22"/>
        </w:rPr>
        <w:t>Inter-</w:t>
      </w:r>
      <w:r w:rsidR="00DF3469" w:rsidRPr="00B97F85">
        <w:rPr>
          <w:rFonts w:asciiTheme="minorHAnsi" w:hAnsiTheme="minorHAnsi" w:cstheme="minorHAnsi"/>
          <w:sz w:val="22"/>
          <w:szCs w:val="22"/>
        </w:rPr>
        <w:lastRenderedPageBreak/>
        <w:t xml:space="preserve">rater agreement was moderate (ICC=0.620) for MUL among readers with measure-specific prostate MRI training and poor among general abdominal radiologists (ICC=0.382). </w:t>
      </w:r>
    </w:p>
    <w:p w14:paraId="46D0F140" w14:textId="1949DF51" w:rsidR="00295F5C" w:rsidRPr="001D6A83" w:rsidRDefault="00295F5C" w:rsidP="00295F5C">
      <w:pPr>
        <w:spacing w:line="480" w:lineRule="auto"/>
        <w:rPr>
          <w:rFonts w:asciiTheme="minorHAnsi" w:hAnsiTheme="minorHAnsi" w:cstheme="minorHAnsi"/>
          <w:b/>
          <w:sz w:val="22"/>
          <w:szCs w:val="22"/>
        </w:rPr>
      </w:pPr>
      <w:r w:rsidRPr="001D6A83">
        <w:rPr>
          <w:rFonts w:asciiTheme="minorHAnsi" w:hAnsiTheme="minorHAnsi" w:cstheme="minorHAnsi"/>
          <w:b/>
          <w:sz w:val="22"/>
          <w:szCs w:val="22"/>
        </w:rPr>
        <w:t xml:space="preserve">Conclusions </w:t>
      </w:r>
    </w:p>
    <w:p w14:paraId="39AA21D8" w14:textId="1C0CB8F7" w:rsidR="00582C23" w:rsidRDefault="00582C23" w:rsidP="00295F5C">
      <w:pPr>
        <w:spacing w:line="480" w:lineRule="auto"/>
        <w:rPr>
          <w:rFonts w:asciiTheme="minorHAnsi" w:hAnsiTheme="minorHAnsi" w:cstheme="minorHAnsi"/>
          <w:sz w:val="22"/>
          <w:szCs w:val="22"/>
        </w:rPr>
      </w:pPr>
      <w:r>
        <w:rPr>
          <w:rFonts w:asciiTheme="minorHAnsi" w:hAnsiTheme="minorHAnsi" w:cstheme="minorHAnsi"/>
          <w:sz w:val="22"/>
          <w:szCs w:val="22"/>
        </w:rPr>
        <w:t xml:space="preserve">Pre-operative coronal </w:t>
      </w:r>
      <w:r w:rsidR="00E666F9">
        <w:rPr>
          <w:rFonts w:asciiTheme="minorHAnsi" w:hAnsiTheme="minorHAnsi" w:cstheme="minorHAnsi"/>
          <w:sz w:val="22"/>
          <w:szCs w:val="22"/>
        </w:rPr>
        <w:t xml:space="preserve">MUL at MRI </w:t>
      </w:r>
      <w:r>
        <w:rPr>
          <w:rFonts w:asciiTheme="minorHAnsi" w:hAnsiTheme="minorHAnsi" w:cstheme="minorHAnsi"/>
          <w:sz w:val="22"/>
          <w:szCs w:val="22"/>
        </w:rPr>
        <w:t xml:space="preserve">is </w:t>
      </w:r>
      <w:r w:rsidR="00E666F9">
        <w:rPr>
          <w:rFonts w:asciiTheme="minorHAnsi" w:hAnsiTheme="minorHAnsi" w:cstheme="minorHAnsi"/>
          <w:sz w:val="22"/>
          <w:szCs w:val="22"/>
        </w:rPr>
        <w:t>an important</w:t>
      </w:r>
      <w:r>
        <w:rPr>
          <w:rFonts w:asciiTheme="minorHAnsi" w:hAnsiTheme="minorHAnsi" w:cstheme="minorHAnsi"/>
          <w:sz w:val="22"/>
          <w:szCs w:val="22"/>
        </w:rPr>
        <w:t xml:space="preserve"> </w:t>
      </w:r>
      <w:r w:rsidR="00604E22">
        <w:rPr>
          <w:rFonts w:asciiTheme="minorHAnsi" w:hAnsiTheme="minorHAnsi" w:cstheme="minorHAnsi"/>
          <w:sz w:val="22"/>
          <w:szCs w:val="22"/>
        </w:rPr>
        <w:t xml:space="preserve">multivariable </w:t>
      </w:r>
      <w:r>
        <w:rPr>
          <w:rFonts w:asciiTheme="minorHAnsi" w:hAnsiTheme="minorHAnsi" w:cstheme="minorHAnsi"/>
          <w:sz w:val="22"/>
          <w:szCs w:val="22"/>
        </w:rPr>
        <w:t>predictor of post-</w:t>
      </w:r>
      <w:r w:rsidR="00E666F9">
        <w:rPr>
          <w:rFonts w:asciiTheme="minorHAnsi" w:hAnsiTheme="minorHAnsi" w:cstheme="minorHAnsi"/>
          <w:sz w:val="22"/>
          <w:szCs w:val="22"/>
        </w:rPr>
        <w:t>RP urinary continence</w:t>
      </w:r>
      <w:r>
        <w:rPr>
          <w:rFonts w:asciiTheme="minorHAnsi" w:hAnsiTheme="minorHAnsi" w:cstheme="minorHAnsi"/>
          <w:sz w:val="22"/>
          <w:szCs w:val="22"/>
        </w:rPr>
        <w:t xml:space="preserve">. Our data supports </w:t>
      </w:r>
      <w:r w:rsidR="00E666F9">
        <w:rPr>
          <w:rFonts w:asciiTheme="minorHAnsi" w:hAnsiTheme="minorHAnsi" w:cstheme="minorHAnsi"/>
          <w:sz w:val="22"/>
          <w:szCs w:val="22"/>
        </w:rPr>
        <w:t>including MUL in clinical models of urinary continence</w:t>
      </w:r>
      <w:r>
        <w:rPr>
          <w:rFonts w:asciiTheme="minorHAnsi" w:hAnsiTheme="minorHAnsi" w:cstheme="minorHAnsi"/>
          <w:sz w:val="22"/>
          <w:szCs w:val="22"/>
        </w:rPr>
        <w:t xml:space="preserve">. Interrater agreement is best among abdominal radiologists with </w:t>
      </w:r>
      <w:r w:rsidR="0065665F">
        <w:rPr>
          <w:rFonts w:asciiTheme="minorHAnsi" w:hAnsiTheme="minorHAnsi" w:cstheme="minorHAnsi"/>
          <w:sz w:val="22"/>
          <w:szCs w:val="22"/>
        </w:rPr>
        <w:t>measure-</w:t>
      </w:r>
      <w:r>
        <w:rPr>
          <w:rFonts w:asciiTheme="minorHAnsi" w:hAnsiTheme="minorHAnsi" w:cstheme="minorHAnsi"/>
          <w:sz w:val="22"/>
          <w:szCs w:val="22"/>
        </w:rPr>
        <w:t xml:space="preserve">specific training. </w:t>
      </w:r>
    </w:p>
    <w:p w14:paraId="316DA1DF" w14:textId="55E7B88F" w:rsidR="00582C23" w:rsidRDefault="00582C23" w:rsidP="00295F5C">
      <w:pPr>
        <w:spacing w:line="480" w:lineRule="auto"/>
        <w:rPr>
          <w:rFonts w:asciiTheme="minorHAnsi" w:hAnsiTheme="minorHAnsi" w:cstheme="minorHAnsi"/>
          <w:sz w:val="22"/>
          <w:szCs w:val="22"/>
        </w:rPr>
      </w:pPr>
    </w:p>
    <w:p w14:paraId="03D7F5FA" w14:textId="77777777" w:rsidR="00604E22" w:rsidRDefault="00604E22">
      <w:pPr>
        <w:rPr>
          <w:rFonts w:asciiTheme="minorHAnsi" w:hAnsiTheme="minorHAnsi" w:cstheme="minorHAnsi"/>
          <w:b/>
          <w:sz w:val="22"/>
          <w:szCs w:val="22"/>
        </w:rPr>
      </w:pPr>
      <w:r>
        <w:rPr>
          <w:rFonts w:asciiTheme="minorHAnsi" w:hAnsiTheme="minorHAnsi" w:cstheme="minorHAnsi"/>
          <w:b/>
          <w:sz w:val="22"/>
          <w:szCs w:val="22"/>
        </w:rPr>
        <w:br w:type="page"/>
      </w:r>
    </w:p>
    <w:p w14:paraId="07F0FCC7" w14:textId="505FBCB9" w:rsidR="00295F5C" w:rsidRPr="001F5CEC" w:rsidRDefault="00295F5C" w:rsidP="00295F5C">
      <w:pPr>
        <w:spacing w:line="480" w:lineRule="auto"/>
        <w:rPr>
          <w:rFonts w:asciiTheme="minorHAnsi" w:hAnsiTheme="minorHAnsi" w:cstheme="minorHAnsi"/>
          <w:b/>
          <w:sz w:val="22"/>
          <w:szCs w:val="22"/>
        </w:rPr>
      </w:pPr>
      <w:r w:rsidRPr="001F5CEC">
        <w:rPr>
          <w:rFonts w:asciiTheme="minorHAnsi" w:hAnsiTheme="minorHAnsi" w:cstheme="minorHAnsi"/>
          <w:b/>
          <w:sz w:val="22"/>
          <w:szCs w:val="22"/>
        </w:rPr>
        <w:lastRenderedPageBreak/>
        <w:t xml:space="preserve">Introduction </w:t>
      </w:r>
    </w:p>
    <w:p w14:paraId="2F7EA400" w14:textId="5A0F7893" w:rsidR="00B011AF" w:rsidRPr="001F5CEC" w:rsidRDefault="00F612D0"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t xml:space="preserve">Urinary </w:t>
      </w:r>
      <w:r w:rsidR="00864949">
        <w:rPr>
          <w:rFonts w:asciiTheme="minorHAnsi" w:hAnsiTheme="minorHAnsi" w:cstheme="minorHAnsi"/>
          <w:sz w:val="22"/>
          <w:szCs w:val="22"/>
        </w:rPr>
        <w:t>in</w:t>
      </w:r>
      <w:r w:rsidRPr="001F5CEC">
        <w:rPr>
          <w:rFonts w:asciiTheme="minorHAnsi" w:hAnsiTheme="minorHAnsi" w:cstheme="minorHAnsi"/>
          <w:sz w:val="22"/>
          <w:szCs w:val="22"/>
        </w:rPr>
        <w:t>continence after radical prostatectomy</w:t>
      </w:r>
      <w:r w:rsidR="0036376D">
        <w:rPr>
          <w:rFonts w:asciiTheme="minorHAnsi" w:hAnsiTheme="minorHAnsi" w:cstheme="minorHAnsi"/>
          <w:sz w:val="22"/>
          <w:szCs w:val="22"/>
        </w:rPr>
        <w:t xml:space="preserve"> (RP)</w:t>
      </w:r>
      <w:r w:rsidR="006F739D" w:rsidRPr="001F5CEC">
        <w:rPr>
          <w:rFonts w:asciiTheme="minorHAnsi" w:hAnsiTheme="minorHAnsi" w:cstheme="minorHAnsi"/>
          <w:sz w:val="22"/>
          <w:szCs w:val="22"/>
        </w:rPr>
        <w:t xml:space="preserve"> </w:t>
      </w:r>
      <w:r w:rsidR="007C1B35">
        <w:rPr>
          <w:rFonts w:asciiTheme="minorHAnsi" w:hAnsiTheme="minorHAnsi" w:cstheme="minorHAnsi"/>
          <w:sz w:val="22"/>
          <w:szCs w:val="22"/>
        </w:rPr>
        <w:t xml:space="preserve">is an important determinant of </w:t>
      </w:r>
      <w:r w:rsidR="00AC3391">
        <w:rPr>
          <w:rFonts w:asciiTheme="minorHAnsi" w:hAnsiTheme="minorHAnsi" w:cstheme="minorHAnsi"/>
          <w:sz w:val="22"/>
          <w:szCs w:val="22"/>
        </w:rPr>
        <w:t>patient</w:t>
      </w:r>
      <w:r w:rsidR="00400098" w:rsidRPr="001F5CEC">
        <w:rPr>
          <w:rFonts w:asciiTheme="minorHAnsi" w:hAnsiTheme="minorHAnsi" w:cstheme="minorHAnsi"/>
          <w:sz w:val="22"/>
          <w:szCs w:val="22"/>
        </w:rPr>
        <w:t xml:space="preserve"> quality of life</w:t>
      </w:r>
      <w:r w:rsidR="00400098" w:rsidRPr="001F5CEC">
        <w:rPr>
          <w:rFonts w:asciiTheme="minorHAnsi" w:hAnsiTheme="minorHAnsi" w:cstheme="minorHAnsi"/>
          <w:sz w:val="22"/>
          <w:szCs w:val="22"/>
        </w:rPr>
        <w:fldChar w:fldCharType="begin" w:fldLock="1"/>
      </w:r>
      <w:r w:rsidR="00400098" w:rsidRPr="001F5CEC">
        <w:rPr>
          <w:rFonts w:asciiTheme="minorHAnsi" w:hAnsiTheme="minorHAnsi" w:cstheme="minorHAnsi"/>
          <w:sz w:val="22"/>
          <w:szCs w:val="22"/>
        </w:rPr>
        <w:instrText>ADDIN CSL_CITATION {"citationItems":[{"id":"ITEM-1","itemData":{"DOI":"10.1590/1518-8345.2757.3131","ISSN":"15188345","abstract":"Objective: to assess the level of urinary incontinence and its impact on the quality of life of patients undergoing radical prostatectomy. Method: cross-sectional study carried out with prostatectomized patients. The data were collected from the following instruments: sociodemographic questionnaire, Pad Test, International Consultation on Incontinence Questionnaire - Short Form and King Health Questionnaire. Data were submitted to descriptive and bivariate statistical analysis. The level of significance was set at 0.05. Results: a total of 152 patients participated, with a mean age of 67 years. Among incontinent patients, there was a predominance of mild urinary incontinence. Urinary incontinence had a very severe impact on the general assessment of quality of life in the first months and severe impact after six months of surgery. The greater the urinary loss, the greater the impact on the quality of life domains Physical Limitations, Social Limitations, Impact of Urinary Incontinence and Severity Measures. Most participants reported no erection after surgery and therefore did not respond to the question of the presence of urinary incontinence during sexual intercourse. Conclusion: the present study evidenced the occurrence of urinary incontinence after radical prostatectomy at different levels and its significant impact on the quality of life of men, which reveals the need of interventions for controlling it.","author":[{"dropping-particle":"","family":"Bernardes","given":"Mariana Ferreira Vaz Gontijo","non-dropping-particle":"","parse-names":false,"suffix":""},{"dropping-particle":"","family":"Chagas","given":"Sabrina de Cássia","non-dropping-particle":"","parse-names":false,"suffix":""},{"dropping-particle":"","family":"Izidoro","given":"Lívia Cristina de Resende","non-dropping-particle":"","parse-names":false,"suffix":""},{"dropping-particle":"","family":"Veloso","given":"Denny Fabricio Magalhaes","non-dropping-particle":"","parse-names":false,"suffix":""},{"dropping-particle":"","family":"Chianca","given":"Tânia Couto Machado","non-dropping-particle":"","parse-names":false,"suffix":""},{"dropping-particle":"","family":"Mata","given":"Luciana Regina Ferreira Pereira","non-dropping-particle":"da","parse-names":false,"suffix":""}],"container-title":"Revista Latino-Americana de Enfermagem","id":"ITEM-1","issued":{"date-parts":[["2019"]]},"publisher":"University of Sao Paulo, Ribeirao Preto College of Nursing Organisation","title":"Impact of urinary incontinence on the quality of life of individuals undergoing radical prostatectomy","type":"article-journal","volume":"27"},"uris":["http://www.mendeley.com/documents/?uuid=b1707271-fd1a-3a7a-8ccb-aa58fb52aabf"]}],"mendeley":{"formattedCitation":"&lt;sup&gt;1&lt;/sup&gt;","plainTextFormattedCitation":"1","previouslyFormattedCitation":"&lt;sup&gt;1&lt;/sup&gt;"},"properties":{"noteIndex":0},"schema":"https://github.com/citation-style-language/schema/raw/master/csl-citation.json"}</w:instrText>
      </w:r>
      <w:r w:rsidR="00400098" w:rsidRPr="001F5CEC">
        <w:rPr>
          <w:rFonts w:asciiTheme="minorHAnsi" w:hAnsiTheme="minorHAnsi" w:cstheme="minorHAnsi"/>
          <w:sz w:val="22"/>
          <w:szCs w:val="22"/>
        </w:rPr>
        <w:fldChar w:fldCharType="separate"/>
      </w:r>
      <w:r w:rsidR="00400098" w:rsidRPr="001F5CEC">
        <w:rPr>
          <w:rFonts w:asciiTheme="minorHAnsi" w:hAnsiTheme="minorHAnsi" w:cstheme="minorHAnsi"/>
          <w:noProof/>
          <w:sz w:val="22"/>
          <w:szCs w:val="22"/>
          <w:vertAlign w:val="superscript"/>
        </w:rPr>
        <w:t>1</w:t>
      </w:r>
      <w:r w:rsidR="00400098" w:rsidRPr="001F5CEC">
        <w:rPr>
          <w:rFonts w:asciiTheme="minorHAnsi" w:hAnsiTheme="minorHAnsi" w:cstheme="minorHAnsi"/>
          <w:sz w:val="22"/>
          <w:szCs w:val="22"/>
        </w:rPr>
        <w:fldChar w:fldCharType="end"/>
      </w:r>
      <w:r w:rsidRPr="001F5CEC">
        <w:rPr>
          <w:rFonts w:asciiTheme="minorHAnsi" w:hAnsiTheme="minorHAnsi" w:cstheme="minorHAnsi"/>
          <w:sz w:val="22"/>
          <w:szCs w:val="22"/>
        </w:rPr>
        <w:t xml:space="preserve">. </w:t>
      </w:r>
      <w:r w:rsidR="006F739D" w:rsidRPr="001F5CEC">
        <w:rPr>
          <w:rFonts w:asciiTheme="minorHAnsi" w:hAnsiTheme="minorHAnsi" w:cstheme="minorHAnsi"/>
          <w:sz w:val="22"/>
          <w:szCs w:val="22"/>
        </w:rPr>
        <w:t xml:space="preserve">Incidence of urinary incontinence </w:t>
      </w:r>
      <w:r w:rsidR="002E4B37" w:rsidRPr="001F5CEC">
        <w:rPr>
          <w:rFonts w:asciiTheme="minorHAnsi" w:hAnsiTheme="minorHAnsi" w:cstheme="minorHAnsi"/>
          <w:sz w:val="22"/>
          <w:szCs w:val="22"/>
        </w:rPr>
        <w:t>at one year</w:t>
      </w:r>
      <w:r w:rsidR="00DD7773" w:rsidRPr="001F5CEC">
        <w:rPr>
          <w:rFonts w:asciiTheme="minorHAnsi" w:hAnsiTheme="minorHAnsi" w:cstheme="minorHAnsi"/>
          <w:sz w:val="22"/>
          <w:szCs w:val="22"/>
        </w:rPr>
        <w:t xml:space="preserve"> post-</w:t>
      </w:r>
      <w:r w:rsidR="00AF7C19">
        <w:rPr>
          <w:rFonts w:asciiTheme="minorHAnsi" w:hAnsiTheme="minorHAnsi" w:cstheme="minorHAnsi"/>
          <w:sz w:val="22"/>
          <w:szCs w:val="22"/>
        </w:rPr>
        <w:t>RP</w:t>
      </w:r>
      <w:r w:rsidR="00AF7C19" w:rsidRPr="001F5CEC">
        <w:rPr>
          <w:rFonts w:asciiTheme="minorHAnsi" w:hAnsiTheme="minorHAnsi" w:cstheme="minorHAnsi"/>
          <w:sz w:val="22"/>
          <w:szCs w:val="22"/>
        </w:rPr>
        <w:t xml:space="preserve"> </w:t>
      </w:r>
      <w:r w:rsidR="006F739D" w:rsidRPr="001F5CEC">
        <w:rPr>
          <w:rFonts w:asciiTheme="minorHAnsi" w:hAnsiTheme="minorHAnsi" w:cstheme="minorHAnsi"/>
          <w:sz w:val="22"/>
          <w:szCs w:val="22"/>
        </w:rPr>
        <w:t xml:space="preserve">ranged from 4-31% in one meta-analysis evaluating </w:t>
      </w:r>
      <w:r w:rsidR="00DD7773" w:rsidRPr="001F5CEC">
        <w:rPr>
          <w:rFonts w:asciiTheme="minorHAnsi" w:hAnsiTheme="minorHAnsi" w:cstheme="minorHAnsi"/>
          <w:sz w:val="22"/>
          <w:szCs w:val="22"/>
        </w:rPr>
        <w:t xml:space="preserve">the </w:t>
      </w:r>
      <w:r w:rsidR="006F739D" w:rsidRPr="001F5CEC">
        <w:rPr>
          <w:rFonts w:asciiTheme="minorHAnsi" w:hAnsiTheme="minorHAnsi" w:cstheme="minorHAnsi"/>
          <w:sz w:val="22"/>
          <w:szCs w:val="22"/>
        </w:rPr>
        <w:t>robot-assisted</w:t>
      </w:r>
      <w:r w:rsidR="00DD7773" w:rsidRPr="001F5CEC">
        <w:rPr>
          <w:rFonts w:asciiTheme="minorHAnsi" w:hAnsiTheme="minorHAnsi" w:cstheme="minorHAnsi"/>
          <w:sz w:val="22"/>
          <w:szCs w:val="22"/>
        </w:rPr>
        <w:t xml:space="preserve"> approach</w:t>
      </w:r>
      <w:r w:rsidR="00DD7773" w:rsidRPr="001F5CEC">
        <w:rPr>
          <w:rFonts w:asciiTheme="minorHAnsi" w:hAnsiTheme="minorHAnsi" w:cstheme="minorHAnsi"/>
          <w:sz w:val="22"/>
          <w:szCs w:val="22"/>
        </w:rPr>
        <w:fldChar w:fldCharType="begin" w:fldLock="1"/>
      </w:r>
      <w:r w:rsidR="00400098" w:rsidRPr="001F5CEC">
        <w:rPr>
          <w:rFonts w:asciiTheme="minorHAnsi" w:hAnsiTheme="minorHAnsi" w:cstheme="minorHAnsi"/>
          <w:sz w:val="22"/>
          <w:szCs w:val="22"/>
        </w:rPr>
        <w:instrText>ADDIN CSL_CITATION {"citationItems":[{"id":"ITEM-1","itemData":{"DOI":"10.1016/j.eururo.2012.05.045","ISSN":"03022838","PMID":"22749852","abstract":"Context: Robot-assisted radical prostatectomy (RARP) was proposed to improve functional outcomes in comparison with retropubic radical prostatectomy (RRP) or laparoscopic radical prostatectomy (LRP). In the initial RARP series, 12-mo urinary continence recovery rates ranged from 84% to 97%. However, the few available studies comparing RARP with RRP or LRP published before 2008 did not permit any definitive conclusions about the superiority of any one of these techniques in terms of urinary continence recovery. Objective: The aims of this systematic review were (1) to evaluate the prevalence and risk factors for urinary incontinence after RARP, (2) to identify surgical techniques able to improve urinary continence recovery after RARP, and (3) to perform a cumulative analysis of all available studies comparing RARP versus RRP or LRP in terms of the urinary continence recovery rate. Evidence acquisition: A literature search was performed in August 2011 using the Medline, Embase, and Web of Science databases. The Medline search included only a free-text protocol using the term radical prostatectomy across the title and abstract fields of the records. The following limits were used: humans; gender (male); and publication date from January 1, 2008. Searches of the Embase and Web of Science databases used the same free-text protocol, keywords, and search period. Only comparative studies or clinical series including &gt;100 cases reporting urinary continence outcomes were included in this review. Cumulative analysis was conducted using the Review Manager v.4.2 software designed for composing Cochrane Reviews (Cochrane Collaboration, Oxford, UK). Evidence synthesis: We analyzed 51 articles reporting urinary continence rates after RARP: 17 case series, 17 studies comparing different techniques in the context of RARP, 9 studies comparing RARP with RRP, and 8 studies comparing RARP with LRP. The 12-mo urinary incontinence rates ranged from 4% to 31%, with a mean value of 16% using a no pad definition. Considering a no pad or safety pad definition, the incidence ranged from 8% to 11%, with a mean value of 9%. Age, body mass index, comorbidity index, lower urinary tract symptoms, and prostate volume were the most relevant preoperative predictors of urinary incontinence after RARP. Only a few comparative studies evaluated the impact of different surgical techniques on urinary continence recovery after RARP. Posterior musculofascial reconstruction with or without anterior…","author":[{"dropping-particle":"","family":"Ficarra","given":"Vincenzo","non-dropping-particle":"","parse-names":false,"suffix":""},{"dropping-particle":"","family":"Novara","given":"Giacomo","non-dropping-particle":"","parse-names":false,"suffix":""},{"dropping-particle":"","family":"Rosen","given":"Raymond C.","non-dropping-particle":"","parse-names":false,"suffix":""},{"dropping-particle":"","family":"Artibani","given":"Walter","non-dropping-particle":"","parse-names":false,"suffix":""},{"dropping-particle":"","family":"Carroll","given":"Peter R.","non-dropping-particle":"","parse-names":false,"suffix":""},{"dropping-particle":"","family":"Costello","given":"Anthony","non-dropping-particle":"","parse-names":false,"suffix":""},{"dropping-particle":"","family":"Menon","given":"Mani","non-dropping-particle":"","parse-names":false,"suffix":""},{"dropping-particle":"","family":"Montorsi","given":"Francesco","non-dropping-particle":"","parse-names":false,"suffix":""},{"dropping-particle":"","family":"Patel","given":"Vipul R.","non-dropping-particle":"","parse-names":false,"suffix":""},{"dropping-particle":"","family":"Stolzenburg","given":"Jens Uwe","non-dropping-particle":"","parse-names":false,"suffix":""},{"dropping-particle":"","family":"Poel","given":"Henk","non-dropping-particle":"Van Der","parse-names":false,"suffix":""},{"dropping-particle":"","family":"Wilson","given":"Timothy G.","non-dropping-particle":"","parse-names":false,"suffix":""},{"dropping-particle":"","family":"Zattoni","given":"Filiberto","non-dropping-particle":"","parse-names":false,"suffix":""},{"dropping-particle":"","family":"Mottrie","given":"Alexandre","non-dropping-particle":"","parse-names":false,"suffix":""}],"container-title":"European Urology","id":"ITEM-1","issue":"3","issued":{"date-parts":[["2012","9"]]},"page":"405-417","publisher":"Eur Urol","title":"Systematic review and meta-analysis of studies reporting urinary continence recovery after robot-assisted radical prostatectomy","type":"article","volume":"62"},"uris":["http://www.mendeley.com/documents/?uuid=39151293-0ab8-38f1-bb86-aca6b9fd903f"]}],"mendeley":{"formattedCitation":"&lt;sup&gt;2&lt;/sup&gt;","plainTextFormattedCitation":"2","previouslyFormattedCitation":"&lt;sup&gt;2&lt;/sup&gt;"},"properties":{"noteIndex":0},"schema":"https://github.com/citation-style-language/schema/raw/master/csl-citation.json"}</w:instrText>
      </w:r>
      <w:r w:rsidR="00DD7773" w:rsidRPr="001F5CEC">
        <w:rPr>
          <w:rFonts w:asciiTheme="minorHAnsi" w:hAnsiTheme="minorHAnsi" w:cstheme="minorHAnsi"/>
          <w:sz w:val="22"/>
          <w:szCs w:val="22"/>
        </w:rPr>
        <w:fldChar w:fldCharType="separate"/>
      </w:r>
      <w:r w:rsidR="00400098" w:rsidRPr="001F5CEC">
        <w:rPr>
          <w:rFonts w:asciiTheme="minorHAnsi" w:hAnsiTheme="minorHAnsi" w:cstheme="minorHAnsi"/>
          <w:noProof/>
          <w:sz w:val="22"/>
          <w:szCs w:val="22"/>
          <w:vertAlign w:val="superscript"/>
        </w:rPr>
        <w:t>2</w:t>
      </w:r>
      <w:r w:rsidR="00DD7773" w:rsidRPr="001F5CEC">
        <w:rPr>
          <w:rFonts w:asciiTheme="minorHAnsi" w:hAnsiTheme="minorHAnsi" w:cstheme="minorHAnsi"/>
          <w:sz w:val="22"/>
          <w:szCs w:val="22"/>
        </w:rPr>
        <w:fldChar w:fldCharType="end"/>
      </w:r>
      <w:r w:rsidR="00DD7773" w:rsidRPr="001F5CEC">
        <w:rPr>
          <w:rFonts w:asciiTheme="minorHAnsi" w:hAnsiTheme="minorHAnsi" w:cstheme="minorHAnsi"/>
          <w:sz w:val="22"/>
          <w:szCs w:val="22"/>
        </w:rPr>
        <w:t xml:space="preserve"> </w:t>
      </w:r>
      <w:r w:rsidR="006F739D" w:rsidRPr="001F5CEC">
        <w:rPr>
          <w:rFonts w:asciiTheme="minorHAnsi" w:hAnsiTheme="minorHAnsi" w:cstheme="minorHAnsi"/>
          <w:sz w:val="22"/>
          <w:szCs w:val="22"/>
        </w:rPr>
        <w:t xml:space="preserve">and from </w:t>
      </w:r>
      <w:r w:rsidR="008552FE" w:rsidRPr="001F5CEC">
        <w:rPr>
          <w:rFonts w:asciiTheme="minorHAnsi" w:hAnsiTheme="minorHAnsi" w:cstheme="minorHAnsi"/>
          <w:sz w:val="22"/>
          <w:szCs w:val="22"/>
        </w:rPr>
        <w:t>8-21% in another evaluating retropubic, laparoscopic, and robot-assisted approaches</w:t>
      </w:r>
      <w:r w:rsidR="008552FE" w:rsidRPr="001F5CEC">
        <w:rPr>
          <w:rFonts w:asciiTheme="minorHAnsi" w:hAnsiTheme="minorHAnsi" w:cstheme="minorHAnsi"/>
          <w:sz w:val="22"/>
          <w:szCs w:val="22"/>
        </w:rPr>
        <w:fldChar w:fldCharType="begin" w:fldLock="1"/>
      </w:r>
      <w:r w:rsidR="00400098" w:rsidRPr="001F5CEC">
        <w:rPr>
          <w:rFonts w:asciiTheme="minorHAnsi" w:hAnsiTheme="minorHAnsi" w:cstheme="minorHAnsi"/>
          <w:sz w:val="22"/>
          <w:szCs w:val="22"/>
        </w:rPr>
        <w:instrText>ADDIN CSL_CITATION {"citationItems":[{"id":"ITEM-1","itemData":{"DOI":"10.1089/end.2010.0295","ISSN":"08927790","PMID":"20942686","abstract":"Purpose: To critically review perioperative outcomes, positive surgical margin (PSM) rates, and functional outcomes of several large series of retropubic radical prostatectomy (RRP), laparoscopic RP (LRP), and robot-assisted radical prostatectomy (RARP) currently available in the literature. Methods: A Medline database search was performed from November 1994 to May 2009, using medical subject heading search terms \" prostatectomy\" and \"Outcome Assessment (Health Care)\" and text words \"retropubic,\" \"robotic,\" and \"laparoscopic.\" Only studies with a sample size of 250 or more patients were considered. Weighted means were calculated for all outcomes using the number of patients included in each study as the weighing factor. Results: We identified 30 articles for RRP, 14 for LRP, and 14 for RARP. The mean intraoperative and postoperative RRP transfusion rates for RRP, LRP, and RARP were 20.1%, 3.5%, and 1.4%, respectively. The weighted mean postoperative complication rates for RRP, LRP, and RARP were 10.3% (4.8% to 26.9%), 10.98% (8.9 to 27.7%), and 10.3% (4.3% to 15.7%), respectively. RARP revealed a mean overall PSM rate of 13.6%, whereas LRP and RRP yielded a PSM of 21.3% and 24%, respectively. The weighted mean continence rates at 12 month follow-up for RRP, LRP, and RARP were 79%, 84.8%, and 92%, respectively. The weighted mean potency rates for patients who underwent unilateral or bilateral nerve sparing, at 12 month follow-up, were 43.1% and 60.6% for RRP, 31.1% and 54% for LRP, and 59.9% and 93.5% for RARP. Conclusion: RRP, LRP, and RARP performed in high-volume centers are safe options for treatment of patients with localized prostate cancer, presenting similar overall complication rates. LRP and RARP, however, are associated with decreased operative blood loss and decreased risk of transfusion when compared with RRP. Our analysis including high-volume centers also showed lower weighted mean PSM rates and higher continence and potency rates after RARP compared with RRP and LRP. However, the lack of randomized trials precludes definitive conclusions. Copyright © 2010, Mary Ann Liebert, Inc.","author":[{"dropping-particle":"","family":"Coelho","given":"Rafael F.","non-dropping-particle":"","parse-names":false,"suffix":""},{"dropping-particle":"","family":"Rocco","given":"Bernardo","non-dropping-particle":"","parse-names":false,"suffix":""},{"dropping-particle":"","family":"Patel","given":"Manoj B.","non-dropping-particle":"","parse-names":false,"suffix":""},{"dropping-particle":"","family":"Orvieto","given":"Marcelo A.","non-dropping-particle":"","parse-names":false,"suffix":""},{"dropping-particle":"","family":"Chauhan","given":"Sanket","non-dropping-particle":"","parse-names":false,"suffix":""},{"dropping-particle":"","family":"Ficarra","given":"Vincenzo","non-dropping-particle":"","parse-names":false,"suffix":""},{"dropping-particle":"","family":"Melegari","given":"Sara","non-dropping-particle":"","parse-names":false,"suffix":""},{"dropping-particle":"","family":"Palmer","given":"Kenneth J.","non-dropping-particle":"","parse-names":false,"suffix":""},{"dropping-particle":"","family":"Patel","given":"Vipul R.","non-dropping-particle":"","parse-names":false,"suffix":""}],"container-title":"Journal of Endourology","id":"ITEM-1","issue":"12","issued":{"date-parts":[["2010","12","1"]]},"page":"2003-2015","publisher":"J Endourol","title":"Retropubic, laparoscopic, and robot-assisted radical prostatectomy: A critical review of outcomes reported by high-volume centers","type":"article","volume":"24"},"uris":["http://www.mendeley.com/documents/?uuid=0d232526-c2f7-33d1-a80b-a7605e280879"]}],"mendeley":{"formattedCitation":"&lt;sup&gt;3&lt;/sup&gt;","plainTextFormattedCitation":"3","previouslyFormattedCitation":"&lt;sup&gt;3&lt;/sup&gt;"},"properties":{"noteIndex":0},"schema":"https://github.com/citation-style-language/schema/raw/master/csl-citation.json"}</w:instrText>
      </w:r>
      <w:r w:rsidR="008552FE" w:rsidRPr="001F5CEC">
        <w:rPr>
          <w:rFonts w:asciiTheme="minorHAnsi" w:hAnsiTheme="minorHAnsi" w:cstheme="minorHAnsi"/>
          <w:sz w:val="22"/>
          <w:szCs w:val="22"/>
        </w:rPr>
        <w:fldChar w:fldCharType="separate"/>
      </w:r>
      <w:r w:rsidR="00400098" w:rsidRPr="001F5CEC">
        <w:rPr>
          <w:rFonts w:asciiTheme="minorHAnsi" w:hAnsiTheme="minorHAnsi" w:cstheme="minorHAnsi"/>
          <w:noProof/>
          <w:sz w:val="22"/>
          <w:szCs w:val="22"/>
          <w:vertAlign w:val="superscript"/>
        </w:rPr>
        <w:t>3</w:t>
      </w:r>
      <w:r w:rsidR="008552FE" w:rsidRPr="001F5CEC">
        <w:rPr>
          <w:rFonts w:asciiTheme="minorHAnsi" w:hAnsiTheme="minorHAnsi" w:cstheme="minorHAnsi"/>
          <w:sz w:val="22"/>
          <w:szCs w:val="22"/>
        </w:rPr>
        <w:fldChar w:fldCharType="end"/>
      </w:r>
      <w:r w:rsidR="008552FE" w:rsidRPr="001F5CEC">
        <w:rPr>
          <w:rFonts w:asciiTheme="minorHAnsi" w:hAnsiTheme="minorHAnsi" w:cstheme="minorHAnsi"/>
          <w:sz w:val="22"/>
          <w:szCs w:val="22"/>
        </w:rPr>
        <w:t>.</w:t>
      </w:r>
      <w:r w:rsidR="002C3A49" w:rsidRPr="001F5CEC">
        <w:rPr>
          <w:rFonts w:asciiTheme="minorHAnsi" w:hAnsiTheme="minorHAnsi" w:cstheme="minorHAnsi"/>
          <w:sz w:val="22"/>
          <w:szCs w:val="22"/>
        </w:rPr>
        <w:t xml:space="preserve"> </w:t>
      </w:r>
      <w:r w:rsidR="00400098" w:rsidRPr="001F5CEC">
        <w:rPr>
          <w:rFonts w:asciiTheme="minorHAnsi" w:hAnsiTheme="minorHAnsi" w:cstheme="minorHAnsi"/>
          <w:sz w:val="22"/>
          <w:szCs w:val="22"/>
        </w:rPr>
        <w:t xml:space="preserve">The Prostate Cancer Outcomes Study found that only 35% of men </w:t>
      </w:r>
      <w:r w:rsidR="00170AF4" w:rsidRPr="001F5CEC">
        <w:rPr>
          <w:rFonts w:asciiTheme="minorHAnsi" w:hAnsiTheme="minorHAnsi" w:cstheme="minorHAnsi"/>
          <w:sz w:val="22"/>
          <w:szCs w:val="22"/>
        </w:rPr>
        <w:t xml:space="preserve">endorsed </w:t>
      </w:r>
      <w:r w:rsidR="00400098" w:rsidRPr="001F5CEC">
        <w:rPr>
          <w:rFonts w:asciiTheme="minorHAnsi" w:hAnsiTheme="minorHAnsi" w:cstheme="minorHAnsi"/>
          <w:sz w:val="22"/>
          <w:szCs w:val="22"/>
        </w:rPr>
        <w:t>total urinary control at 12 months post-</w:t>
      </w:r>
      <w:r w:rsidR="0036376D">
        <w:rPr>
          <w:rFonts w:asciiTheme="minorHAnsi" w:hAnsiTheme="minorHAnsi" w:cstheme="minorHAnsi"/>
          <w:sz w:val="22"/>
          <w:szCs w:val="22"/>
        </w:rPr>
        <w:t>RP</w:t>
      </w:r>
      <w:r w:rsidR="00400098" w:rsidRPr="001F5CEC">
        <w:rPr>
          <w:rFonts w:asciiTheme="minorHAnsi" w:hAnsiTheme="minorHAnsi" w:cstheme="minorHAnsi"/>
          <w:sz w:val="22"/>
          <w:szCs w:val="22"/>
        </w:rPr>
        <w:fldChar w:fldCharType="begin" w:fldLock="1"/>
      </w:r>
      <w:r w:rsidR="00D35374">
        <w:rPr>
          <w:rFonts w:asciiTheme="minorHAnsi" w:hAnsiTheme="minorHAnsi" w:cstheme="minorHAnsi"/>
          <w:sz w:val="22"/>
          <w:szCs w:val="22"/>
        </w:rPr>
        <w:instrText>ADDIN CSL_CITATION {"citationItems":[{"id":"ITEM-1","itemData":{"DOI":"10.1016/j.juro.2008.03.136","ISSN":"00225347","abstract":"Purpose: Prior studies of postoperative outcomes following radical prostatectomy have been limited by selection bias and short-term followup. In this study we assessed temporal changes in urinary and sexual function up to 5 years following radical prostatectomy in a population based cohort. Materials and Methods: A sample of 1,288 men with localized prostate cancer who underwent radical prostatectomy and completed a baseline survey within 6 to 12 months of diagnosis were included in the analysis. Two and 5-year functional and quality of life data were collected, as was information on the use of erectile aids. Temporal functional changes and potentially confounding or modifying factors were assessed using longitudinal regression models. Results: Of these men 14% reported frequent urinary leakage or no urinary control 60 months after diagnosis, which was slightly higher than the 10% reporting incontinence at 24 months (p b = 0.007). At 60 months 28% of the men had erections firm enough for intercourse compared with 22% at 24 months (p b = 0.003). Sildenafil was the most commonly used erectile aid (43% ever used) and 45% of users reported that it helped \"somewhat\" or \"a lot.\". Conclusions: Urinary and sexual dysfunction were common 5 years following radical prostatectomy in this large, community based cohort of prostate cancer survivors. While a small minority of subjects experienced changes in urinary or sexual function between years 2 and 5 after prostatectomy, functional outcomes remained relatively stable in the majority of participants. © 2008 American Urological Association.","author":[{"dropping-particle":"","family":"Penson","given":"David F.","non-dropping-particle":"","parse-names":false,"suffix":""},{"dropping-particle":"","family":"McLerran","given":"Dale","non-dropping-particle":"","parse-names":false,"suffix":""},{"dropping-particle":"","family":"Feng","given":"Ziding","non-dropping-particle":"","parse-names":false,"suffix":""},{"dropping-particle":"","family":"Li","given":"Lin","non-dropping-particle":"","parse-names":false,"suffix":""},{"dropping-particle":"","family":"Albertsen","given":"Peter C.","non-dropping-particle":"","parse-names":false,"suffix":""},{"dropping-particle":"","family":"Gilliland","given":"Frank D.","non-dropping-particle":"","parse-names":false,"suffix":""},{"dropping-particle":"","family":"Hamilton","given":"Ann","non-dropping-particle":"","parse-names":false,"suffix":""},{"dropping-particle":"","family":"Hoffman","given":"Richard M.","non-dropping-particle":"","parse-names":false,"suffix":""},{"dropping-particle":"","family":"Stephenson","given":"Robert A.","non-dropping-particle":"","parse-names":false,"suffix":""},{"dropping-particle":"","family":"Potosky","given":"Arnold L.","non-dropping-particle":"","parse-names":false,"suffix":""},{"dropping-particle":"","family":"Stanford","given":"Janet L.","non-dropping-particle":"","parse-names":false,"suffix":""}],"container-title":"Journal of Urology","id":"ITEM-1","issue":"5 SUPPL.","issued":{"date-parts":[["2008","5"]]},"publisher":"J Urol","title":"5-Year Urinary and Sexual Outcomes After Radical Prostatectomy: Results From the Prostate Cancer Outcomes Study","type":"article-journal","volume":"179"},"uris":["http://www.mendeley.com/documents/?uuid=54696d97-c86c-37e4-90f0-945e654ffada"]}],"mendeley":{"formattedCitation":"&lt;sup&gt;4&lt;/sup&gt;","plainTextFormattedCitation":"4","previouslyFormattedCitation":"&lt;sup&gt;4&lt;/sup&gt;"},"properties":{"noteIndex":0},"schema":"https://github.com/citation-style-language/schema/raw/master/csl-citation.json"}</w:instrText>
      </w:r>
      <w:r w:rsidR="00400098" w:rsidRPr="001F5CEC">
        <w:rPr>
          <w:rFonts w:asciiTheme="minorHAnsi" w:hAnsiTheme="minorHAnsi" w:cstheme="minorHAnsi"/>
          <w:sz w:val="22"/>
          <w:szCs w:val="22"/>
        </w:rPr>
        <w:fldChar w:fldCharType="separate"/>
      </w:r>
      <w:r w:rsidR="00400098" w:rsidRPr="001F5CEC">
        <w:rPr>
          <w:rFonts w:asciiTheme="minorHAnsi" w:hAnsiTheme="minorHAnsi" w:cstheme="minorHAnsi"/>
          <w:noProof/>
          <w:sz w:val="22"/>
          <w:szCs w:val="22"/>
          <w:vertAlign w:val="superscript"/>
        </w:rPr>
        <w:t>4</w:t>
      </w:r>
      <w:r w:rsidR="00400098" w:rsidRPr="001F5CEC">
        <w:rPr>
          <w:rFonts w:asciiTheme="minorHAnsi" w:hAnsiTheme="minorHAnsi" w:cstheme="minorHAnsi"/>
          <w:sz w:val="22"/>
          <w:szCs w:val="22"/>
        </w:rPr>
        <w:fldChar w:fldCharType="end"/>
      </w:r>
      <w:r w:rsidR="00400098" w:rsidRPr="001F5CEC">
        <w:rPr>
          <w:rFonts w:asciiTheme="minorHAnsi" w:hAnsiTheme="minorHAnsi" w:cstheme="minorHAnsi"/>
          <w:sz w:val="22"/>
          <w:szCs w:val="22"/>
        </w:rPr>
        <w:t xml:space="preserve">. </w:t>
      </w:r>
    </w:p>
    <w:p w14:paraId="58A51E84" w14:textId="75149C3D" w:rsidR="00AF7C19" w:rsidRDefault="00DD7773" w:rsidP="00F631BE">
      <w:pPr>
        <w:spacing w:line="480" w:lineRule="auto"/>
        <w:ind w:firstLine="720"/>
        <w:rPr>
          <w:rFonts w:asciiTheme="minorHAnsi" w:hAnsiTheme="minorHAnsi" w:cstheme="minorHAnsi"/>
          <w:sz w:val="22"/>
          <w:szCs w:val="22"/>
        </w:rPr>
      </w:pPr>
      <w:r w:rsidRPr="001F5CEC">
        <w:rPr>
          <w:rFonts w:asciiTheme="minorHAnsi" w:hAnsiTheme="minorHAnsi" w:cstheme="minorHAnsi"/>
          <w:sz w:val="22"/>
          <w:szCs w:val="22"/>
        </w:rPr>
        <w:t>A variety of patient characteristics</w:t>
      </w:r>
      <w:r w:rsidR="00170AF4" w:rsidRPr="001F5CEC">
        <w:rPr>
          <w:rFonts w:asciiTheme="minorHAnsi" w:hAnsiTheme="minorHAnsi" w:cstheme="minorHAnsi"/>
          <w:sz w:val="22"/>
          <w:szCs w:val="22"/>
        </w:rPr>
        <w:t xml:space="preserve"> </w:t>
      </w:r>
      <w:r w:rsidR="006913CA">
        <w:rPr>
          <w:rFonts w:asciiTheme="minorHAnsi" w:hAnsiTheme="minorHAnsi" w:cstheme="minorHAnsi"/>
          <w:sz w:val="22"/>
          <w:szCs w:val="22"/>
        </w:rPr>
        <w:t xml:space="preserve">have been used to predict </w:t>
      </w:r>
      <w:r w:rsidR="00AF7C19">
        <w:rPr>
          <w:rFonts w:asciiTheme="minorHAnsi" w:hAnsiTheme="minorHAnsi" w:cstheme="minorHAnsi"/>
          <w:sz w:val="22"/>
          <w:szCs w:val="22"/>
        </w:rPr>
        <w:t xml:space="preserve">recovery of </w:t>
      </w:r>
      <w:r w:rsidR="006913CA">
        <w:rPr>
          <w:rFonts w:asciiTheme="minorHAnsi" w:hAnsiTheme="minorHAnsi" w:cstheme="minorHAnsi"/>
          <w:sz w:val="22"/>
          <w:szCs w:val="22"/>
        </w:rPr>
        <w:t>post-</w:t>
      </w:r>
      <w:r w:rsidR="00AF7C19">
        <w:rPr>
          <w:rFonts w:asciiTheme="minorHAnsi" w:hAnsiTheme="minorHAnsi" w:cstheme="minorHAnsi"/>
          <w:sz w:val="22"/>
          <w:szCs w:val="22"/>
        </w:rPr>
        <w:t xml:space="preserve">RP </w:t>
      </w:r>
      <w:r w:rsidR="006913CA">
        <w:rPr>
          <w:rFonts w:asciiTheme="minorHAnsi" w:hAnsiTheme="minorHAnsi" w:cstheme="minorHAnsi"/>
          <w:sz w:val="22"/>
          <w:szCs w:val="22"/>
        </w:rPr>
        <w:t>continence</w:t>
      </w:r>
      <w:r w:rsidR="005F3DC5">
        <w:rPr>
          <w:rFonts w:asciiTheme="minorHAnsi" w:hAnsiTheme="minorHAnsi" w:cstheme="minorHAnsi"/>
          <w:sz w:val="22"/>
          <w:szCs w:val="22"/>
        </w:rPr>
        <w:t xml:space="preserve"> </w:t>
      </w:r>
      <w:r w:rsidR="006913CA">
        <w:rPr>
          <w:rFonts w:asciiTheme="minorHAnsi" w:hAnsiTheme="minorHAnsi" w:cstheme="minorHAnsi"/>
          <w:sz w:val="22"/>
          <w:szCs w:val="22"/>
        </w:rPr>
        <w:t>including</w:t>
      </w:r>
      <w:r w:rsidR="001F5CEC">
        <w:rPr>
          <w:rFonts w:asciiTheme="minorHAnsi" w:hAnsiTheme="minorHAnsi" w:cstheme="minorHAnsi"/>
          <w:sz w:val="22"/>
          <w:szCs w:val="22"/>
        </w:rPr>
        <w:t xml:space="preserve"> </w:t>
      </w:r>
      <w:r w:rsidR="005F3DC5">
        <w:rPr>
          <w:rFonts w:asciiTheme="minorHAnsi" w:hAnsiTheme="minorHAnsi" w:cstheme="minorHAnsi"/>
          <w:sz w:val="22"/>
          <w:szCs w:val="22"/>
        </w:rPr>
        <w:t>younger</w:t>
      </w:r>
      <w:r w:rsidR="00D35374">
        <w:rPr>
          <w:rFonts w:asciiTheme="minorHAnsi" w:hAnsiTheme="minorHAnsi" w:cstheme="minorHAnsi"/>
          <w:sz w:val="22"/>
          <w:szCs w:val="22"/>
        </w:rPr>
        <w:t xml:space="preserve"> age, l</w:t>
      </w:r>
      <w:r w:rsidR="005F3DC5">
        <w:rPr>
          <w:rFonts w:asciiTheme="minorHAnsi" w:hAnsiTheme="minorHAnsi" w:cstheme="minorHAnsi"/>
          <w:sz w:val="22"/>
          <w:szCs w:val="22"/>
        </w:rPr>
        <w:t>ower</w:t>
      </w:r>
      <w:r w:rsidR="00D35374">
        <w:rPr>
          <w:rFonts w:asciiTheme="minorHAnsi" w:hAnsiTheme="minorHAnsi" w:cstheme="minorHAnsi"/>
          <w:sz w:val="22"/>
          <w:szCs w:val="22"/>
        </w:rPr>
        <w:t xml:space="preserve"> body mass index</w:t>
      </w:r>
      <w:r w:rsidR="00DC1717">
        <w:rPr>
          <w:rFonts w:asciiTheme="minorHAnsi" w:hAnsiTheme="minorHAnsi" w:cstheme="minorHAnsi"/>
          <w:sz w:val="22"/>
          <w:szCs w:val="22"/>
        </w:rPr>
        <w:t xml:space="preserve">, and </w:t>
      </w:r>
      <w:r w:rsidR="005F3DC5">
        <w:rPr>
          <w:rFonts w:asciiTheme="minorHAnsi" w:hAnsiTheme="minorHAnsi" w:cstheme="minorHAnsi"/>
          <w:sz w:val="22"/>
          <w:szCs w:val="22"/>
        </w:rPr>
        <w:t>lower</w:t>
      </w:r>
      <w:r w:rsidR="00DC1717">
        <w:rPr>
          <w:rFonts w:asciiTheme="minorHAnsi" w:hAnsiTheme="minorHAnsi" w:cstheme="minorHAnsi"/>
          <w:sz w:val="22"/>
          <w:szCs w:val="22"/>
        </w:rPr>
        <w:t xml:space="preserve"> clinical tumor stage</w:t>
      </w:r>
      <w:r w:rsidR="0041054D">
        <w:rPr>
          <w:rFonts w:asciiTheme="minorHAnsi" w:hAnsiTheme="minorHAnsi" w:cstheme="minorHAnsi"/>
          <w:sz w:val="22"/>
          <w:szCs w:val="22"/>
        </w:rPr>
        <w:fldChar w:fldCharType="begin" w:fldLock="1"/>
      </w:r>
      <w:r w:rsidR="00EF73CE">
        <w:rPr>
          <w:rFonts w:asciiTheme="minorHAnsi" w:hAnsiTheme="minorHAnsi" w:cstheme="minorHAnsi"/>
          <w:sz w:val="22"/>
          <w:szCs w:val="22"/>
        </w:rPr>
        <w:instrText>ADDIN CSL_CITATION {"citationItems":[{"id":"ITEM-1","itemData":{"DOI":"10.1016/j.juro.2006.11.089","ISSN":"00225347","abstract":"Purpose: Improved urinary function following radical prostatectomy due to bladder outlet obstruction from subclinical benign prostatic hyperplasia has been described. We determined if prostate volume determined by preoperative transrectal ultrasound could predict recovery of urinary function and continence following radical prostatectomy. Materials and Methods: We identified all 4,984 patients who underwent radical prostatectomy in the CaPSURE national disease registry of men with prostate cancer. Only the 2,097 men who had data available on preoperative prostate volume by transrectal ultrasound, and complete preoperative and postoperative data available on urinary function using the UCLA-PCI were selected for study. Transrectal ultrasound volume was categorized as less than 25, 25 to 50 cc or greater than 50 cc. Univariate and mixed multivariate analyses were performed to determine the association between transrectal ultrasound based prostate volume and continence, as measured by urinary function scores 6 months to 2 years following radical prostatectomy. Analyses were controlled for baseline urinary function as well as other variables, such as body mass index, time of urinary function assessment and patient age at diagnosis. Total and individual item scores on the urinary function subscale were used as outcome variables in separate models. Results: Median transrectal ultrasound prostate volume was 35 cc (IQR 27-47.8). In the ANOVA for mixed models patient age, time of urinary function assessment, body mass index and transrectal ultrasound prostate volume were independent predictors of urinary continence. Patients with prostate volume greater than 50 cc had lower rates of continence, as assessed by urinary function scores 6 months and 1 year after radical prostatectomy, but scores equalized across all volume ranges by 2 years after radical prostatectomy. The individual domains most significantly affected were urinary control (p = 0.02), urine leakage during sexual activity (p = 0.0016) and urine leakage frequency (p = 0.0175). Conclusions: These data indicate that baseline prostate volume is a predictor of recovery of urinary function after radical prostatectomy. Men with larger volume prostates have lower levels of continence up to 2 years after radical prostatectomy. A potential reason could be subclinical bladder dysfunction related to benign prostatic hyperplasia that manifests after surgery. © 2007 American Urological Association.","author":[{"dropping-particle":"","family":"Konety","given":"Badrinath R.","non-dropping-particle":"","parse-names":false,"suffix":""},{"dropping-particle":"","family":"Sadetsky","given":"Natalia","non-dropping-particle":"","parse-names":false,"suffix":""},{"dropping-particle":"","family":"Carroll","given":"Peter R.","non-dropping-particle":"","parse-names":false,"suffix":""}],"container-title":"Journal of Urology","id":"ITEM-1","issue":"4","issued":{"date-parts":[["2007","4"]]},"page":"1423-1426","publisher":"J Urol","title":"Recovery of Urinary Continence Following Radical Prostatectomy: The Impact of Prostate Volume-Analysis of Data From the CaPSURE™ Database","type":"article-journal","volume":"177"},"uris":["http://www.mendeley.com/documents/?uuid=69951d99-dd16-3b50-a189-3c909747b48a"]},{"id":"ITEM-2","itemData":{"DOI":"10.1089/end.2012.0117","ISSN":"08927790","abstract":"Purpose: To investigate the factors that predict recovery of continence within 3 months after robot-assisted radical prostatectomy (RARP). Patients and Methods: The charts of 452 patients who underwent RARP with a minimum follow-up period of 3 months were collected prospectively and reviewed retrospectively. Urinary continence was determined using the self-administered validated Expanded Prostate Cancer Index Composite questionnaire during the routine follow-up visits. Results: The overall continence rate 3 months after RARP was 79.9%. In an univariate logistic regression test, age&lt;70 years, higher preoperative Sexual Health Inventory for Men (SHIM) score, lower clinical T1 stage, lower biopsy and pathologic Gleason score, shorter operative time, lower estimated blood loss, smaller prostate volume (&lt;40 cc) were associated with recovery of urinary continence within 3 months after RARP (P&lt;0.05). In multivariate logistic regression analysis, younger age, higher SHIM score, lower clinical T1 stage, lower body mass index (BMI), and smaller prostate volume were independent factors that predicted return of continence within 3 months after RARP (P&lt;0.05). Conclusions: Younger age (&lt;70 years), higher preoperative SHIM score, clinical T1 stage, lower BMI, and smaller prostate volume (&lt;40 cc) independently predicted recovery of continence within 3 months after RARP. © 2012 Mary Ann Liebert, Inc.","author":[{"dropping-particle":"","family":"Kim","given":"Jung Jun","non-dropping-particle":"","parse-names":false,"suffix":""},{"dropping-particle":"","family":"Ha","given":"Yun Sok","non-dropping-particle":"","parse-names":false,"suffix":""},{"dropping-particle":"","family":"Kim","given":"Jeong Hyun","non-dropping-particle":"","parse-names":false,"suffix":""},{"dropping-particle":"","family":"Jeon","given":"Seong Soo","non-dropping-particle":"","parse-names":false,"suffix":""},{"dropping-particle":"","family":"Lee","given":"Dong Hyeon","non-dropping-particle":"","parse-names":false,"suffix":""},{"dropping-particle":"","family":"Kim","given":"Wun Jae","non-dropping-particle":"","parse-names":false,"suffix":""},{"dropping-particle":"","family":"Kim","given":"Isaac Yi","non-dropping-particle":"","parse-names":false,"suffix":""}],"container-title":"Journal of Endourology","id":"ITEM-2","issue":"10","issued":{"date-parts":[["2012","10","1"]]},"page":"1290-1295","publisher":"J Endourol","title":"Independent predictors of recovery of continence 3 months after robot-assisted laparoscopic radical prostatectomy","type":"article-journal","volume":"26"},"uris":["http://www.mendeley.com/documents/?uuid=f9290442-dfbd-3dac-88e1-ae916c3d2e13"]},{"id":"ITEM-3","itemData":{"DOI":"10.1016/j.urology.2012.12.038","ISSN":"00904295","PMID":"23434100","abstract":"Objective: To investigate the longitudinal changes in lower urinary tract symptoms (LUTS) after robot-assisted radical prostatectomy (RARP). Methods: Data on 127 patients who underwent RARP and completed the American Urological Association Symptom Score (AUASS) preoperatively and at 3, 6, and 12 months after surgery were collected prospectively and reviewed retrospectively. Based on the preoperative AUASS, the patients were divided into 2 groups: mild vs moderate to severe. Results: In patients with moderate to severe LUTS, the AUASS gradually decreased after RARP. However, in patients with mild LUTS, the AUASS increased significantly at 3 months postoperatively; although LUTS began to improve at 6 months postoperatively. In multivariate logistic regression analysis, higher body mass index (BMI) was associated with an exacerbation of LUTS at 3 months postoperatively (odds ratio [OR] = 1.148, P &lt;.05). Within the moderate to severe LUTS group, urinary continence at 3 months after RARP was independently associated with the symptom improvement of LUTS at 1 year after surgery (OR = 4.772, P &lt;.05). In a subgroup analysis, lower BMI and urinary continence at 3 months after RARP predicted a significant improvement in storage symptoms at 12 months postoperatively (OR = 0.856, P &lt;.05, and OR = 3.828, P &lt;.05, respectively). Conclusion: After RARP, LUTS significantly improved over a 1-year period in patients with moderate to severe LUTS. However, in the immediate postoperative setting, LUTS was exacerbated in patients with mild LUTS. Increased BMI was associated with a lack of improvement in LUTS, whereas early recovery of urinary continence after surgery predicted better symptomatic improvement in LUTS, especially storage symptoms. © 2013 Elsevier Inc.","author":[{"dropping-particle":"","family":"Kim","given":"Jeong Hyun","non-dropping-particle":"","parse-names":false,"suffix":""},{"dropping-particle":"","family":"Ha","given":"Yun Sok","non-dropping-particle":"","parse-names":false,"suffix":""},{"dropping-particle":"","family":"Jeong","given":"Seong Jin","non-dropping-particle":"","parse-names":false,"suffix":""},{"dropping-particle":"","family":"Lee","given":"Dong Hyeon","non-dropping-particle":"","parse-names":false,"suffix":""},{"dropping-particle":"","family":"Kim","given":"Wun Jae","non-dropping-particle":"","parse-names":false,"suffix":""},{"dropping-particle":"","family":"Kim","given":"Isaac Yi","non-dropping-particle":"","parse-names":false,"suffix":""}],"container-title":"Urology","id":"ITEM-3","issue":"4","issued":{"date-parts":[["2013","4"]]},"page":"787-793","publisher":"Urology","title":"Impact of robot-assisted radical prostatectomy on lower urinary tract symptoms and predictive factors for symptom changes: A longitudinal study","type":"article-journal","volume":"81"},"uris":["http://www.mendeley.com/documents/?uuid=6df7392f-956f-33c4-a029-3c26aa291a08"]},{"id":"ITEM-4","itemData":{"DOI":"10.1089/end.2010.0184","ISSN":"08927790","abstract":"Background and Purpose: Postoperative incontinence is multifactorial after radical prostatectomy. Using endorectal coil MRI, we examined features of the male urethra and accompanying muscular sphincter to predict continence after robot-assisted radical prostatectomy (RARP). Patients and Methods: 80 patients underwent preoperative 1.5 Tesla endorectal coil MRI. Urethral length was measured in the coronal plane. All patients underwent RARP. Questionnaires were completed by patients at monthly intervals. The primary end point was time to continence defined as necessitating 0 to 1 pad per day (PPD). Statistical analysis was performed using Cox regression models to create both univariate and multivariate survival models. Results: Mean age was 59.7 (standard deviation [SD] 7.1); 98% had bilateral nerve sparing. Mean urethral length was 17.1mm (SD 4.5mm). Mean prostate size was 34.7 g (SD 17.8). By 3 months, 60 patients achieved 1 PPD (mean 8.1 weeks, SD 9.4) and 34 patients achieved 0 PPD (mean 10.5 weeks, SD 8.0). Time to social continence was significantly related to prostate size both as a continuous variable (P=0.01), and as a dichotomized variable of ≥50 vs&lt;50 g (P=0.02). Increased urethral length was related to decreased time to continence both as a continuous variable (P=0.06), and when dichotomized to ≥20 vs&lt;20mm (P=0.08). In addition to larger prostate size (hazard ratio [HR] 0.97, P&lt;0.04), older age (0.95 P&lt;0.025) was also associated with a longer time to achieve 0 PPD. Multivariate analysis revealed that longer urethral length was associated with a faster recovery of continence (HR 1.11, P&lt;0.01). After controlling for age and urethral length, patients with a prostate size ≥50 g had 75% lower likelihood of achieving continence at all time points when compared with patients with prostate size &lt;50 g (HR 0.25; 95% confidence interval: 0.06, 1.06; P=0.06). Conclusions: Longer urethral length increased the likelihood of achieving continence at all time points postoperatively. Advanced age and larger prostate size were negatively associated with continence outcomes. Copyright © Mary Ann Liebert, Inc.","author":[{"dropping-particle":"","family":"Mendoza","given":"Pierre J.","non-dropping-particle":"","parse-names":false,"suffix":""},{"dropping-particle":"","family":"Stern","given":"Joshua M.","non-dropping-particle":"","parse-names":false,"suffix":""},{"dropping-particle":"","family":"Li","given":"Amy Y.","non-dropping-particle":"","parse-names":false,"suffix":""},{"dropping-particle":"","family":"Jaffe","given":"William","non-dropping-particle":"","parse-names":false,"suffix":""},{"dropping-particle":"","family":"Kovell","given":"Robert","non-dropping-particle":"","parse-names":false,"suffix":""},{"dropping-particle":"","family":"Mary Nguyen","given":"R. N.","non-dropping-particle":"","parse-names":false,"suffix":""},{"dropping-particle":"","family":"Rachel Natale","given":"P. A.C.","non-dropping-particle":"","parse-names":false,"suffix":""},{"dropping-particle":"","family":"Kelly Monahan","given":"P. A.C.","non-dropping-particle":"","parse-names":false,"suffix":""},{"dropping-particle":"","family":"Bergey","given":"Meredith R.","non-dropping-particle":"","parse-names":false,"suffix":""},{"dropping-particle":"","family":"Lee","given":"David I.","non-dropping-particle":"","parse-names":false,"suffix":""}],"container-title":"Journal of Endourology","id":"ITEM-4","issue":"1","issued":{"date-parts":[["2011","1"]]},"page":"51-55","publisher":"J Endourol","title":"Pelvic anatomy on preoperative magnetic resonance imaging can predict early continence after robot-assisted radical prostatectomy","type":"article-journal","volume":"25"},"uris":["http://www.mendeley.com/documents/?uuid=cf62feae-a7e1-335e-a6ec-7e84f38be2cb"]}],"mendeley":{"formattedCitation":"&lt;sup&gt;5–8&lt;/sup&gt;","plainTextFormattedCitation":"5–8","previouslyFormattedCitation":"&lt;sup&gt;5–8&lt;/sup&gt;"},"properties":{"noteIndex":0},"schema":"https://github.com/citation-style-language/schema/raw/master/csl-citation.json"}</w:instrText>
      </w:r>
      <w:r w:rsidR="0041054D">
        <w:rPr>
          <w:rFonts w:asciiTheme="minorHAnsi" w:hAnsiTheme="minorHAnsi" w:cstheme="minorHAnsi"/>
          <w:sz w:val="22"/>
          <w:szCs w:val="22"/>
        </w:rPr>
        <w:fldChar w:fldCharType="separate"/>
      </w:r>
      <w:r w:rsidR="0041054D" w:rsidRPr="0041054D">
        <w:rPr>
          <w:rFonts w:asciiTheme="minorHAnsi" w:hAnsiTheme="minorHAnsi" w:cstheme="minorHAnsi"/>
          <w:noProof/>
          <w:sz w:val="22"/>
          <w:szCs w:val="22"/>
          <w:vertAlign w:val="superscript"/>
        </w:rPr>
        <w:t>5–8</w:t>
      </w:r>
      <w:r w:rsidR="0041054D">
        <w:rPr>
          <w:rFonts w:asciiTheme="minorHAnsi" w:hAnsiTheme="minorHAnsi" w:cstheme="minorHAnsi"/>
          <w:sz w:val="22"/>
          <w:szCs w:val="22"/>
        </w:rPr>
        <w:fldChar w:fldCharType="end"/>
      </w:r>
      <w:r w:rsidR="0041054D">
        <w:rPr>
          <w:rFonts w:asciiTheme="minorHAnsi" w:hAnsiTheme="minorHAnsi" w:cstheme="minorHAnsi"/>
          <w:sz w:val="22"/>
          <w:szCs w:val="22"/>
        </w:rPr>
        <w:t>.</w:t>
      </w:r>
      <w:r w:rsidR="006913CA">
        <w:rPr>
          <w:rFonts w:asciiTheme="minorHAnsi" w:hAnsiTheme="minorHAnsi" w:cstheme="minorHAnsi"/>
          <w:sz w:val="22"/>
          <w:szCs w:val="22"/>
        </w:rPr>
        <w:t xml:space="preserve"> Multiple a</w:t>
      </w:r>
      <w:r w:rsidR="00D35374">
        <w:rPr>
          <w:rFonts w:asciiTheme="minorHAnsi" w:hAnsiTheme="minorHAnsi" w:cstheme="minorHAnsi"/>
          <w:sz w:val="22"/>
          <w:szCs w:val="22"/>
        </w:rPr>
        <w:t xml:space="preserve">natomic measures </w:t>
      </w:r>
      <w:r w:rsidR="0041054D">
        <w:rPr>
          <w:rFonts w:asciiTheme="minorHAnsi" w:hAnsiTheme="minorHAnsi" w:cstheme="minorHAnsi"/>
          <w:sz w:val="22"/>
          <w:szCs w:val="22"/>
        </w:rPr>
        <w:t xml:space="preserve">on pre-operative magnetic resonance imaging (MRI) </w:t>
      </w:r>
      <w:r w:rsidR="006913CA">
        <w:rPr>
          <w:rFonts w:asciiTheme="minorHAnsi" w:hAnsiTheme="minorHAnsi" w:cstheme="minorHAnsi"/>
          <w:sz w:val="22"/>
          <w:szCs w:val="22"/>
        </w:rPr>
        <w:t xml:space="preserve">also </w:t>
      </w:r>
      <w:r w:rsidR="00AF7C19">
        <w:rPr>
          <w:rFonts w:asciiTheme="minorHAnsi" w:hAnsiTheme="minorHAnsi" w:cstheme="minorHAnsi"/>
          <w:sz w:val="22"/>
          <w:szCs w:val="22"/>
        </w:rPr>
        <w:t xml:space="preserve">are </w:t>
      </w:r>
      <w:r w:rsidR="006913CA">
        <w:rPr>
          <w:rFonts w:asciiTheme="minorHAnsi" w:hAnsiTheme="minorHAnsi" w:cstheme="minorHAnsi"/>
          <w:sz w:val="22"/>
          <w:szCs w:val="22"/>
        </w:rPr>
        <w:t xml:space="preserve">associated </w:t>
      </w:r>
      <w:r w:rsidR="00D35374">
        <w:rPr>
          <w:rFonts w:asciiTheme="minorHAnsi" w:hAnsiTheme="minorHAnsi" w:cstheme="minorHAnsi"/>
          <w:sz w:val="22"/>
          <w:szCs w:val="22"/>
        </w:rPr>
        <w:t>with</w:t>
      </w:r>
      <w:r w:rsidR="005F3DC5">
        <w:rPr>
          <w:rFonts w:asciiTheme="minorHAnsi" w:hAnsiTheme="minorHAnsi" w:cstheme="minorHAnsi"/>
          <w:sz w:val="22"/>
          <w:szCs w:val="22"/>
        </w:rPr>
        <w:t xml:space="preserve"> </w:t>
      </w:r>
      <w:r w:rsidR="00D35374">
        <w:rPr>
          <w:rFonts w:asciiTheme="minorHAnsi" w:hAnsiTheme="minorHAnsi" w:cstheme="minorHAnsi"/>
          <w:sz w:val="22"/>
          <w:szCs w:val="22"/>
        </w:rPr>
        <w:t>continence</w:t>
      </w:r>
      <w:r w:rsidR="005F3DC5">
        <w:rPr>
          <w:rFonts w:asciiTheme="minorHAnsi" w:hAnsiTheme="minorHAnsi" w:cstheme="minorHAnsi"/>
          <w:sz w:val="22"/>
          <w:szCs w:val="22"/>
        </w:rPr>
        <w:t xml:space="preserve"> recovery</w:t>
      </w:r>
      <w:r w:rsidR="006913CA">
        <w:rPr>
          <w:rFonts w:asciiTheme="minorHAnsi" w:hAnsiTheme="minorHAnsi" w:cstheme="minorHAnsi"/>
          <w:sz w:val="22"/>
          <w:szCs w:val="22"/>
        </w:rPr>
        <w:t>. These</w:t>
      </w:r>
      <w:r w:rsidR="00D35374">
        <w:rPr>
          <w:rFonts w:asciiTheme="minorHAnsi" w:hAnsiTheme="minorHAnsi" w:cstheme="minorHAnsi"/>
          <w:sz w:val="22"/>
          <w:szCs w:val="22"/>
        </w:rPr>
        <w:t xml:space="preserve"> include </w:t>
      </w:r>
      <w:r w:rsidR="005F3DC5">
        <w:rPr>
          <w:rFonts w:asciiTheme="minorHAnsi" w:hAnsiTheme="minorHAnsi" w:cstheme="minorHAnsi"/>
          <w:sz w:val="22"/>
          <w:szCs w:val="22"/>
        </w:rPr>
        <w:t>smaller</w:t>
      </w:r>
      <w:r w:rsidR="001F5CEC">
        <w:rPr>
          <w:rFonts w:asciiTheme="minorHAnsi" w:hAnsiTheme="minorHAnsi" w:cstheme="minorHAnsi"/>
          <w:sz w:val="22"/>
          <w:szCs w:val="22"/>
        </w:rPr>
        <w:t xml:space="preserve"> prostate volume</w:t>
      </w:r>
      <w:r w:rsidR="0053079C">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{"citationItems":[{"id":"ITEM-1","itemData":{"DOI":"10.1016/j.juro.2008.05.029","ISSN":"00225347","abstract":"Purpose: We determined whether prostate weight has an impact on the pathological and operative outcomes of robot assisted laparoscopic radical prostatectomy. Materials and Methods: We reviewed the records of 1,847 consecutive patients who underwent robot assisted laparoscopic radical prostatectomy at our institution. Variables were compared across quartile distributions of prostate size as defined by weight, including group 1-less than 30 gm, group 2-30 to 49.9, group 3-50 to 69.9 and group 4-70 or greater. Factors assessed in this analysis were patient age, body mass index, prostate specific antigen, Gleason score, pathological stage, margin status, operative time, blood loss, transfusion rate, length of stay and rehospitalization rate. Results: Patients with a larger prostate (group 4) were older (mean age 66.2 years), had higher pretreatment prostate specific antigen (median 6.5 ng/ml), lower Gleason score (mean 6.3), longer operative time (mean 3.2 hours), higher estimated blood loss (median 250 cc) and longer hospital stay (p = 0.0002). There was a trend toward higher risk disease based on D'Amico risk stratification and positive margin status in group 1, although evidence of extracapsular extension was more common in groups 2 and 3. There was no association between prostate size and body mass index, lymph node status, blood transfusion rate, seminal vesicle involvement and rehospitalization rate. Conclusions: Robot assisted laparoscopic radical prostatectomy in patients with an enlarged prostate is feasible with slightly longer operative time, urinary leakage rates and hospital stay. Pathologically larger prostates are generally associated with lower Gleason score and risk group stratification. One-year continence rates and biochemical recurrence rates are similar across all groups. © 2008 American Urological Association.","author":[{"dropping-particle":"","family":"Link","given":"Brian A.","non-dropping-particle":"","parse-names":false,"suffix":""},{"dropping-particle":"","family":"Nelson","given":"Rebecca","non-dropping-particle":"","parse-names":false,"suffix":""},{"dropping-particle":"","family":"Josephson","given":"David Y.","non-dropping-particle":"","parse-names":false,"suffix":""},{"dropping-particle":"","family":"Yoshida","given":"Jeffrey S.","non-dropping-particle":"","parse-names":false,"suffix":""},{"dropping-particle":"","family":"Crocitto","given":"Laura E.","non-dropping-particle":"","parse-names":false,"suffix":""},{"dropping-particle":"","family":"Kawachi","given":"Mark H.","non-dropping-particle":"","parse-names":false,"suffix":""},{"dropping-particle":"","family":"Wilson","given":"Timothy G.","non-dropping-particle":"","parse-names":false,"suffix":""}],"container-title":"Journal of Urology","id":"ITEM-1","issue":"3","issued":{"date-parts":[["2008","9"]]},"page":"928-932","publisher":"J Urol","title":"The Impact of Prostate Gland Weight in Robot Assisted Laparoscopic Radical Prostatectomy","type":"article-journal","volume":"180"},"uris":["http://www.mendeley.com/documents/?uuid=b838cdf5-b84e-3d23-adc9-e72bf389483c"]},{"id":"ITEM-2","itemData":{"DOI":"10.1016/j.juro.2006.11.089","ISSN":"00225347","abstract":"Purpose: Improved urinary function following radical prostatectomy due to bladder outlet obstruction from subclinical benign prostatic hyperplasia has been described. We determined if prostate volume determined by preoperative transrectal ultrasound could predict recovery of urinary function and continence following radical prostatectomy. Materials and Methods: We identified all 4,984 patients who underwent radical prostatectomy in the CaPSURE national disease registry of men with prostate cancer. Only the 2,097 men who had data available on preoperative prostate volume by transrectal ultrasound, and complete preoperative and postoperative data available on urinary function using the UCLA-PCI were selected for study. Transrectal ultrasound volume was categorized as less than 25, 25 to 50 cc or greater than 50 cc. Univariate and mixed multivariate analyses were performed to determine the association between transrectal ultrasound based prostate volume and continence, as measured by urinary function scores 6 months to 2 years following radical prostatectomy. Analyses were controlled for baseline urinary function as well as other variables, such as body mass index, time of urinary function assessment and patient age at diagnosis. Total and individual item scores on the urinary function subscale were used as outcome variables in separate models. Results: Median transrectal ultrasound prostate volume was 35 cc (IQR 27-47.8). In the ANOVA for mixed models patient age, time of urinary function assessment, body mass index and transrectal ultrasound prostate volume were independent predictors of urinary continence. Patients with prostate volume greater than 50 cc had lower rates of continence, as assessed by urinary function scores 6 months and 1 year after radical prostatectomy, but scores equalized across all volume ranges by 2 years after radical prostatectomy. The individual domains most significantly affected were urinary control (p = 0.02), urine leakage during sexual activity (p = 0.0016) and urine leakage frequency (p = 0.0175). Conclusions: These data indicate that baseline prostate volume is a predictor of recovery of urinary function after radical prostatectomy. Men with larger volume prostates have lower levels of continence up to 2 years after radical prostatectomy. A potential reason could be subclinical bladder dysfunction related to benign prostatic hyperplasia that manifests after surgery. © 2007 American Urological Association.","author":[{"dropping-particle":"","family":"Konety","given":"Badrinath R.","non-dropping-particle":"","parse-names":false,"suffix":""},{"dropping-particle":"","family":"Sadetsky","given":"Natalia","non-dropping-particle":"","parse-names":false,"suffix":""},{"dropping-particle":"","family":"Carroll","given":"Peter R.","non-dropping-particle":"","parse-names":false,"suffix":""}],"container-title":"Journal of Urology","id":"ITEM-2","issue":"4","issued":{"date-parts":[["2007","4"]]},"page":"1423-1426","publisher":"J Urol","title":"Recovery of Urinary Continence Following Radical Prostatectomy: The Impact of Prostate Volume-Analysis of Data From the CaPSURE™ Database","type":"article-journal","volume":"177"},"uris":["http://www.mendeley.com/documents/?uuid=69951d99-dd16-3b50-a189-3c909747b48a"]},{"id":"ITEM-3","itemData":{"DOI":"10.1016/j.juro.2007.03.044","ISSN":"00225347","abstract":"Purpose: We investigated how the preoperatively estimated integrity of pelvic floor muscles related to the recovery of continence after radical prostatectomy. Materials and Methods: A total of 94 patients underwent magnetic resonance image of the prostate and urodynamic studies before undergoing radical prostatectomy and evaluation of voiding symptoms before, and 3 and 6 months after surgery. Incontinence was defined as any unwanted urine leakage. On the magnetic resonance image the thickness of the levator ani and pelvic diaphragm, and prostate volume were measured to correlate with continence status. Results: Incontinence was noted in 41.5% and 15.9% of the patients at 3 and 6 months, respectively. Recovery of continence 3 months after RP was related to the thickness of the pelvic diaphragm on sagittal imaging (p = 0.017), the ratio of the levator ani on the axial image to prostate volume (p = 0.047), functional urethral length (p = 0.007) and incontinence before surgery (p = 0.009). Recovery at 6 months was related to neurovascular bundle sparing (p = 0.013) and marginally to the pelvic diaphragm on sagittal imaging (p = 0.059). On multivariate analysis the pelvic diaphragm on sagittal imaging (HR 2.455, 95% CI 0.894-6.739, p = 0.008) and the ratio of the levator ani on the axial image to prostate volume (HR 1.886, 95% CI 0.952-3.736, p = 0.011) significantly predicted continence at 3 months, while at 6 months only the pelvic diaphragm on sagittal imaging showed a significant relationship (p = 0.024). Conclusions: Pelvic diaphragm thickness and the ratio of levator ani thickness to prostate volume are independent factors predictive of post-prostatectomy incontinence. Patients with better developed pelvic floor muscles, especially in relation to the size of the prostate, can be expected to achieve earlier recovery of continence after radical prostatectomy. © 2007 American Urological Association.","author":[{"dropping-particle":"","family":"Song","given":"Cheryn","non-dropping-particle":"","parse-names":false,"suffix":""},{"dropping-particle":"","family":"Doo","given":"Chin Kyung","non-dropping-particle":"","parse-names":false,"suffix":""},{"dropping-particle":"","family":"Hong","given":"Jun Hyuk","non-dropping-particle":"","parse-names":false,"suffix":""},{"dropping-particle":"","family":"Choo","given":"Myung Soo","non-dropping-particle":"","parse-names":false,"suffix":""},{"dropping-particle":"","family":"Kim","given":"Choung Soo","non-dropping-particle":"","parse-names":false,"suffix":""},{"dropping-particle":"","family":"Ahn","given":"Hanjong","non-dropping-particle":"","parse-names":false,"suffix":""}],"container-title":"Journal of Urology","id":"ITEM-3","issue":"1","issued":{"date-parts":[["2007","7"]]},"page":"208-211","publisher":"J Urol","title":"Relationship Between the Integrity of the Pelvic Floor Muscles and Early Recovery of Continence After Radical Prostatectomy","type":"article-journal","volume":"178"},"uris":["http://www.mendeley.com/documents/?uuid=4bdc4775-2c9f-387b-803f-2cf28b57acd8"]}],"mendeley":{"formattedCitation":"&lt;sup&gt;5,9,10&lt;/sup&gt;","plainTextFormattedCitation":"5,9,10","previouslyFormattedCitation":"&lt;sup&gt;5,9,10&lt;/sup&gt;"},"properties":{"noteIndex":0},"schema":"https://github.com/citation-style-language/schema/raw/master/csl-citation.json"}</w:instrText>
      </w:r>
      <w:r w:rsidR="0053079C">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5,9,10</w:t>
      </w:r>
      <w:r w:rsidR="0053079C">
        <w:rPr>
          <w:rFonts w:asciiTheme="minorHAnsi" w:hAnsiTheme="minorHAnsi" w:cstheme="minorHAnsi"/>
          <w:sz w:val="22"/>
          <w:szCs w:val="22"/>
        </w:rPr>
        <w:fldChar w:fldCharType="end"/>
      </w:r>
      <w:r w:rsidR="00D35374">
        <w:rPr>
          <w:rFonts w:asciiTheme="minorHAnsi" w:hAnsiTheme="minorHAnsi" w:cstheme="minorHAnsi"/>
          <w:sz w:val="22"/>
          <w:szCs w:val="22"/>
        </w:rPr>
        <w:t>,</w:t>
      </w:r>
      <w:r w:rsidR="006913CA">
        <w:rPr>
          <w:rFonts w:asciiTheme="minorHAnsi" w:hAnsiTheme="minorHAnsi" w:cstheme="minorHAnsi"/>
          <w:sz w:val="22"/>
          <w:szCs w:val="22"/>
        </w:rPr>
        <w:t xml:space="preserve"> a </w:t>
      </w:r>
      <w:r w:rsidR="005F3DC5">
        <w:rPr>
          <w:rFonts w:asciiTheme="minorHAnsi" w:hAnsiTheme="minorHAnsi" w:cstheme="minorHAnsi"/>
          <w:sz w:val="22"/>
          <w:szCs w:val="22"/>
        </w:rPr>
        <w:t>longer</w:t>
      </w:r>
      <w:r w:rsidR="006913CA">
        <w:rPr>
          <w:rFonts w:asciiTheme="minorHAnsi" w:hAnsiTheme="minorHAnsi" w:cstheme="minorHAnsi"/>
          <w:sz w:val="22"/>
          <w:szCs w:val="22"/>
        </w:rPr>
        <w:t xml:space="preserve"> membranous urethra length</w:t>
      </w:r>
      <w:r w:rsidR="0041054D">
        <w:rPr>
          <w:rFonts w:asciiTheme="minorHAnsi" w:hAnsiTheme="minorHAnsi" w:cstheme="minorHAnsi"/>
          <w:sz w:val="22"/>
          <w:szCs w:val="22"/>
        </w:rPr>
        <w:t xml:space="preserve"> (MUL)</w:t>
      </w:r>
      <w:r w:rsidR="0048715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{"citationItems":[{"id":"ITEM-1","itemData":{"DOI":"10.1016/S0022-5347(05)64568-5","ISSN":"00225347","abstract":"Purpose: We determined whether membranous urethral length on preoperative magnetic resonance imaging (MRI) is predictive of urinary continence after radical retropubic prostatectomy. Materials and Methods: Membranous urethral length was measured on preoperative endorectal MRI in 211 consecutive patients with newly diagnosed prostate cancer before radical retropubic prostatectomy performed by a single surgeon. Neurovascular bundle resection was done in 60 cases. After surgery the time to stable postoperative continence was recorded in 180 cases and the level of stable continence was graded on a 5-point scale of 1 - complete continence to 5 - complete incontinence. Results: After controlling for age and surgical technique multivariate analysis showed that membranous urethral length was related to time to stable postoperative continence (p = 0.02), such that a longer membranous urethra was associated with a shorter time to stable continence. For example, 1 year after surgery 120 of the 134 patients (89%) with a preoperative membranous urethral length of greater than 12 mm. were completely continent compared with 35 of the 46 (77%) with a preoperative length of 12 mm. or less. Conclusions: On endorectal MRI before radical prostatectomy a longer membranous urethra is associated with significantly more rapid return of urinary continence after surgery.","author":[{"dropping-particle":"V.","family":"Coakley","given":"Fergus","non-dropping-particle":"","parse-names":false,"suffix":""},{"dropping-particle":"","family":"Eberhardt","given":"Steven","non-dropping-particle":"","parse-names":false,"suffix":""},{"dropping-particle":"","family":"Kattan","given":"Michael W.","non-dropping-particle":"","parse-names":false,"suffix":""},{"dropping-particle":"","family":"Wei","given":"David C.","non-dropping-particle":"","parse-names":false,"suffix":""},{"dropping-particle":"","family":"Scardino","given":"Peter T.","non-dropping-particle":"","parse-names":false,"suffix":""},{"dropping-particle":"","family":"Hricak","given":"Hedvig","non-dropping-particle":"","parse-names":false,"suffix":""}],"container-title":"Journal of Urology","id":"ITEM-1","issued":{"date-parts":[["2002"]]},"title":"Urinary continence after radical retropubic prostatectomy: Relationship with membranous urethral length on preoperative endorectal magnetic resonance","type":"article-journal"},"uris":["http://www.mendeley.com/documents/?uuid=30f6907b-6540-4256-ab95-455266614af2"]},{"id":"ITEM-2","itemData":{"DOI":"10.1016/j.juro.2011.10.143","ISSN":"00225347","abstract":"Purpose: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Urology","id":"ITEM-2","issue":"3","issued":{"date-parts":[["2012"]]},"page":"945-950","publisher":"Elsevier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imaging","type":"article-journal","volume":"187"},"uris":["http://www.mendeley.com/documents/?uuid=46f83362-fcb1-4c50-9a68-238fd933be45"]},{"id":"ITEM-3","itemData":{"DOI":"10.1002/nau.23318","ISSN":"15206777","abstract":"Aims: To determine whether preoperative prostate/pelvic anatomical structures and intraoperative fascia preservation (FP) predict continence recovery after robot-assisted radical prostatectomy (RARP). Methods: Between January 2012 and March 2016, 439 prostate cancer (PCa) patients with normal preoperative continence were retrospectively included. FP score was defined as the extent of FP from base to apex of the prostate, quantitatively assessed by the surgeon. Anatomical prostate structures were measured on endorectal preoperative Magnetic Resonance Imaging. The International Consultation on Incontinence Questionnaire-Short Form (ICIQ-SF) was used to assess urinary incontinence (UI). Cox analysis was used to determine predictive factors for early continence recovery. Finally a binary logistic regression analysis was performed to develop a risk calculator. Results: At a median follow up of 12.1 months 50.8% of men reported UI. In the Cox multivariate analysis longer membranous urethral length (MUL; P &lt; 0.0001; OR 1.309; CI 1.211, 1.415) and shorter inner levator distance (ILD; P &lt; 0.0001; OR 0.904; CI 0.85, 0.961) were predictors of earlier continence recovery. In the multivariate binary logistic regression analysis longer MUL (P &lt; 0.0001; OR 1.565, CI 1.362, 1.798), shorter ILD (P &lt; 0.0001; OR 0.819, CI 0.742, 0.904) and higher FP score (P = 0.024; OR 1.089, CI 1.011, 1.172) were independent predictors of continence outcome. The risk calculator predicted continence recovery between 1.3% and 99%. Conclusions: Preoperative longer MUL and shorter ILD, but also intraoperative FP independently improve continence recovery after RARP. The risk calculator could be used to identify patients at high risk of UI.","author":[{"dropping-particle":"","family":"Grivas","given":"Nikolaos","non-dropping-particle":"","parse-names":false,"suffix":""},{"dropping-particle":"","family":"Roest","given":"Rosanne","non-dropping-particle":"van der","parse-names":false,"suffix":""},{"dropping-particle":"","family":"Schouten","given":"Daan","non-dropping-particle":"","parse-names":false,"suffix":""},{"dropping-particle":"","family":"Cavicchioli","given":"Francesca","non-dropping-particle":"","parse-names":false,"suffix":""},{"dropping-particle":"","family":"Tillier","given":"Corine","non-dropping-particle":"","parse-names":false,"suffix":""},{"dropping-particle":"","family":"Bex","given":"Axel","non-dropping-particle":"","parse-names":false,"suffix":""},{"dropping-particle":"","family":"Schoots","given":"Ivo","non-dropping-particle":"","parse-names":false,"suffix":""},{"dropping-particle":"","family":"Artibani","given":"Walter","non-dropping-particle":"","parse-names":false,"suffix":""},{"dropping-particle":"","family":"Heijmink","given":"Stijn","non-dropping-particle":"","parse-names":false,"suffix":""},{"dropping-particle":"","family":"Poel","given":"Henk","non-dropping-particle":"Van Der","parse-names":false,"suffix":""}],"container-title":"Neurourology and Urodynamics","id":"ITEM-3","issued":{"date-parts":[["2018"]]},"title":"Quantitative assessment of fascia preservation improves the prediction of membranous urethral length and inner levator distance on continence outcome after robot-assisted radical prostatectomy","type":"article-journal"},"uris":["http://www.mendeley.com/documents/?uuid=6eddffac-ab31-4c8f-a532-952f4500ab46"]},{"id":"ITEM-4","itemData":{"DOI":"10.1016/j.eururo.2008.08.057","ISSN":"03022838","PMID":"18801612","abstract":"Background: Limited data on endorectal magnetic resonance imaging (MRI) features and urinary continence after radical prostatectomy (RP) are available. Objective: To assess whether recovery of urinary continence after RP is associated with endorectal MRI findings regarding preoperative and postoperative membranous urethral length (MUL), percent change in MUL, and postoperative urethral and periurethral fibrosis. Design, setting, and participants: Sixty-four patients who received an MRI scan before and after RP for localized prostate cancer were evaluated in a retrospective study at a single institution. Intervention: All patients underwent RP. Measurements: The postoperative scan was performed to detect local recurrence in patients with rising levels of prostate-specific antigen. Urinary continence was graded on a five-point scale. MUL was measured on T2-weighted images. Urethral and periurethral fibrosis was graded from 0 to III based on axial T2-weighted images. Univariate Cox proportional hazards regression was performed to assess variables associated with continence. Results and limitations: Forty-eight patients regained continence following surgery. The median follow-up for patient who were incontinent at their last assessment was 7 mo. The median interval from RP to postoperative endorectal MRI was 10 mo. A longer preoperative or postoperative MUL was associated with superior continence (both p &lt; 0.01). The MUL loss ratio was significantly associated with postoperative continence (p = 0.02). Patients with a high grade of postoperative periurethral fibrosis tended to have worse postoperative continence; nevertheless a statistical correlation was not reached (hazard ratio: 0.64, p = 0.16). This is a retrospective study. Conclusions: Preoperative and postoperative MUL and the MUL loss ratio are related to the recovery time and level of urinary continence after RP. Therefore, preservation of urethral length during surgery is recommended. Periurethral fibrosis might impede the recovery of continence after RP by altering the elasticity of the external sphincter. © 2008 European Association of Urology.","author":[{"dropping-particle":"","family":"Paparel","given":"Philippe","non-dropping-particle":"","parse-names":false,"suffix":""},{"dropping-particle":"","family":"Akin","given":"Oguz","non-dropping-particle":"","parse-names":false,"suffix":""},{"dropping-particle":"","family":"Sandhu","given":"Jaspreet S.","non-dropping-particle":"","parse-names":false,"suffix":""},{"dropping-particle":"","family":"Otero","given":"Javier Romero","non-dropping-particle":"","parse-names":false,"suffix":""},{"dropping-particle":"","family":"Serio","given":"Angel M.","non-dropping-particle":"","parse-names":false,"suffix":""},{"dropping-particle":"","family":"Scardino","given":"Peter T.","non-dropping-particle":"","parse-names":false,"suffix":""},{"dropping-particle":"","family":"Hricak","given":"Hedvig","non-dropping-particle":"","parse-names":false,"suffix":""},{"dropping-particle":"","family":"Guillonneau","given":"Bertrand","non-dropping-particle":"","parse-names":false,"suffix":""}],"container-title":"European Urology","id":"ITEM-4","issue":"3","issued":{"date-parts":[["2009","3"]]},"page":"629-639","publisher":"Eur Urol","title":"Recovery of Urinary Continence after Radical Prostatectomy: Association with Urethral Length and Urethral Fibrosis Measured by Preoperative and Postoperative Endorectal Magnetic Resonance Imaging","type":"article-journal","volume":"55"},"uris":["http://www.mendeley.com/documents/?uuid=e7b187e1-bed4-391f-8bf9-efbca532ee02"]},{"id":"ITEM-5","itemData":{"DOI":"10.1089/end.2010.0184","ISSN":"08927790","abstract":"Background and Purpose: Postoperative incontinence is multifactorial after radical prostatectomy. Using endorectal coil MRI, we examined features of the male urethra and accompanying muscular sphincter to predict continence after robot-assisted radical prostatectomy (RARP). Patients and Methods: 80 patients underwent preoperative 1.5 Tesla endorectal coil MRI. Urethral length was measured in the coronal plane. All patients underwent RARP. Questionnaires were completed by patients at monthly intervals. The primary end point was time to continence defined as necessitating 0 to 1 pad per day (PPD). Statistical analysis was performed using Cox regression models to create both univariate and multivariate survival models. Results: Mean age was 59.7 (standard deviation [SD] 7.1); 98% had bilateral nerve sparing. Mean urethral length was 17.1mm (SD 4.5mm). Mean prostate size was 34.7 g (SD 17.8). By 3 months, 60 patients achieved 1 PPD (mean 8.1 weeks, SD 9.4) and 34 patients achieved 0 PPD (mean 10.5 weeks, SD 8.0). Time to social continence was significantly related to prostate size both as a continuous variable (P=0.01), and as a dichotomized variable of ≥50 vs&lt;50 g (P=0.02). Increased urethral length was related to decreased time to continence both as a continuous variable (P=0.06), and when dichotomized to ≥20 vs&lt;20mm (P=0.08). In addition to larger prostate size (hazard ratio [HR] 0.97, P&lt;0.04), older age (0.95 P&lt;0.025) was also associated with a longer time to achieve 0 PPD. Multivariate analysis revealed that longer urethral length was associated with a faster recovery of continence (HR 1.11, P&lt;0.01). After controlling for age and urethral length, patients with a prostate size ≥50 g had 75% lower likelihood of achieving continence at all time points when compared with patients with prostate size &lt;50 g (HR 0.25; 95% confidence interval: 0.06, 1.06; P=0.06). Conclusions: Longer urethral length increased the likelihood of achieving continence at all time points postoperatively. Advanced age and larger prostate size were negatively associated with continence outcomes. Copyright © Mary Ann Liebert, Inc.","author":[{"dropping-particle":"","family":"Mendoza","given":"Pierre J.","non-dropping-particle":"","parse-names":false,"suffix":""},{"dropping-particle":"","family":"Stern","given":"Joshua M.","non-dropping-particle":"","parse-names":false,"suffix":""},{"dropping-particle":"","family":"Li","given":"Amy Y.","non-dropping-particle":"","parse-names":false,"suffix":""},{"dropping-particle":"","family":"Jaffe","given":"William","non-dropping-particle":"","parse-names":false,"suffix":""},{"dropping-particle":"","family":"Kovell","given":"Robert","non-dropping-particle":"","parse-names":false,"suffix":""},{"dropping-particle":"","family":"Mary Nguyen","given":"R. N.","non-dropping-particle":"","parse-names":false,"suffix":""},{"dropping-particle":"","family":"Rachel Natale","given":"P. A.C.","non-dropping-particle":"","parse-names":false,"suffix":""},{"dropping-particle":"","family":"Kelly Monahan","given":"P. A.C.","non-dropping-particle":"","parse-names":false,"suffix":""},{"dropping-particle":"","family":"Bergey","given":"Meredith R.","non-dropping-particle":"","parse-names":false,"suffix":""},{"dropping-particle":"","family":"Lee","given":"David I.","non-dropping-particle":"","parse-names":false,"suffix":""}],"container-title":"Journal of Endourology","id":"ITEM-5","issue":"1","issued":{"date-parts":[["2011","1"]]},"page":"51-55","publisher":"J Endourol","title":"Pelvic anatomy on preoperative magnetic resonance imaging can predict early continence after robot-assisted radical prostatectomy","type":"article-journal","volume":"25"},"uris":["http://www.mendeley.com/documents/?uuid=cf62feae-a7e1-335e-a6ec-7e84f38be2cb"]},{"id":"ITEM-6","itemData":{"DOI":"10.1016/j.euf.2018.04.021","ISSN":"24054569","abstract":"Background: The applicability of the sphincter complex integral theory to robotic-assisted radical prostatectomy (RARP) is unclear, with little known about the long-term effect of sphincter complex integrity on continence. Objective: To determine whether the preoperative anatomical and functional features of the sphincter complex and the degree of nerve-sparing affect long-term continence after RARP. Design, setting, and participants: Prospective study of 529 patients who underwent RARP at a single tertiary center. Outcome measurements and statistical analysis: Anatomical factors, including membranous urethral length (MUL) and pelvic diaphragm length (PDL), were assessed using sagittal views of preoperative magnetic resonance imaging. MUL was defined as the distance from the posterior prostate apex to the urethra level at the penile bulb, and PDL was defined as the length of the urethra that met the planes created by the pelvic floor muscles. Functional parameters including maximum urethral closure pressure (MUCP) and functional urethral length were evaluated using preoperative measurements of the urethral pressure profiles. The degree of nerve-sparing was stratified as bilateral, unilateral, or none. Continence (pad-free status) was assessed according to anatomical and functional factors and nerve-sparing. We used binary logistic regression to assess factors predicting continence return 12 mo after RARP. Results and limitations: Continence return rates 1, 3, 6, and 12 mo after RARP were 39.7%, 66.0%, 80.2%, and 87.0%, respectively. Continence return rates at 12 mo differed significantly in patients with MUL ≥11.7 mm (91.9%) and &lt;11.7 mm (79.9%), PDL ≥9.9 mm (96.7%) and &lt;9.9 mm (74.5%), and MUCP ≥66 cmH2O (89.7%) and &lt;66 cmH2O (79.4%). The continence return rate was significantly higher in patients with bilateral (93.0%) than in patients with unilateral (78.1%) or no (76.7%) nerve-sparing. Multivariate analysis showed that PDL (odds ratio [OR] = 2.187 per mm), MUCP (OR = 1.037 per cmH2O), and bilateral nerve-sparing (OR = 3.671) were independently associated with continence return 12 mo after RALP. Conclusions: The anatomical length and static pressure of the sphincter complex affected continence after RARP. Bilateral nerve-sparing was independently associated with long-term continence. Patient summary: Predisposing length and static pressure of the urinary sphincter affect continence after robotic-assisted radical prostatectomy. Nerve bundle preservati…","author":[{"dropping-particle":"","family":"Kim","given":"Myong","non-dropping-particle":"","parse-names":false,"suffix":""},{"dropping-particle":"","family":"Park","given":"Myungchan","non-dropping-particle":"","parse-names":false,"suffix":""},{"dropping-particle":"","family":"Pak","given":"Sahyun","non-dropping-particle":"","parse-names":false,"suffix":""},{"dropping-particle":"","family":"Choi","given":"Seung Kwon","non-dropping-particle":"","parse-names":false,"suffix":""},{"dropping-particle":"","family":"Shim","given":"Myungsun","non-dropping-particle":"","parse-names":false,"suffix":""},{"dropping-particle":"","family":"Song","given":"Cheryn","non-dropping-particle":"","parse-names":false,"suffix":""},{"dropping-particle":"","family":"Ahn","given":"Hanjong","non-dropping-particle":"","parse-names":false,"suffix":""}],"container-title":"European Urology Focus","id":"ITEM-6","issue":"5","issued":{"date-parts":[["2019","9","1"]]},"page":"823-830","publisher":"Elsevier B.V.","title":"Integrity of the Urethral Sphincter Complex, Nerve-sparing, and Long-term Continence Status after Robotic-assisted Radical Prostatectomy","type":"article-journal","volume":"5"},"uris":["http://www.mendeley.com/documents/?uuid=ece30f65-9af9-3b0a-bf5c-87976c9bcb03"]},{"id":"ITEM-7","itemData":{"DOI":"10.1007/s11255-015-1019-8","ISSN":"15732584","abstract":"Purpose: Prostate cancer can be treated by radical prostatectomy (RP) and provoke a troublesome side effect: urinary incontinence (UI). We propose a verification of the usefulness of MRI and an identification of which structures are involved in UI after RP. Methods: Between September 2002 and December 2011, 550 patients underwent RP. We performed MRI to evaluate extraprostatic disease before surgery. To evaluate patient status, we measured the following structures: length (LP), width (WP), height (HP) and volume (PV) of the prostate, membranous urethral length (MUL), urethral wall thickness (UWT), levator ani muscle (LAM) and obturator internus muscle (OIM) thickness, ratio of levator ani muscle/prostate volume (LAM/PV), volume of the urethra (VU). UI was defined according to ICS definition as the complaint of any involuntary leakage of urine and evaluated 1 year after surgery. Analyses were performed by mean comparisons, univariate and multivariate logistic regression with a 1000-resample bootstrapping. Results: Means of measurements were: LP 4.46 cm, WP 5.15 cm, HP 3.9 cm, PV 49.3 cc; LAM 0.51 cm, OIM 1.46 cm; MUL 1.43 cm, UWT 1.38 cm; and LAM/PV 0.013 cm/cc, VU 2.33 cc. One hundred and twenty-two (22.2 %) patients complained of urine leakage. Univariate obtained differences in PV, OIM, MUL, and UWT. After adjusting by confounders, multivariate analysis showed: MUL: [OR 0.134; CI 95 % (0.022–0.493); P 0.006]; PV: [OR 1.016; CI 95 % (1.004–1.029); P 0.005]; UWT: [OR 6.03; CI 95 % (1.068–44.1); P 0.033]. Conclusions: MRI is a useful tool to predict UI after RP. The MUL and PV are well-identified structures that are involved in UI. Our study shows that UWT also influences UI.","author":[{"dropping-particle":"","family":"Tienza","given":"Antonio","non-dropping-particle":"","parse-names":false,"suffix":""},{"dropping-particle":"","family":"Hevia","given":"Mateo","non-dropping-particle":"","parse-names":false,"suffix":""},{"dropping-particle":"","family":"Benito","given":"Alberto","non-dropping-particle":"","parse-names":false,"suffix":""},{"dropping-particle":"","family":"Pascual","given":"Juan I.","non-dropping-particle":"","parse-names":false,"suffix":""},{"dropping-particle":"","family":"Zudaire","given":"Juan Javier","non-dropping-particle":"","parse-names":false,"suffix":""},{"dropping-particle":"","family":"Robles","given":"Jose Enrique","non-dropping-particle":"","parse-names":false,"suffix":""}],"container-title":"International Urology and Nephrology","id":"ITEM-7","issue":"8","issued":{"date-parts":[["2015","8","31"]]},"page":"1343-1349","publisher":"Kluwer Academic Publishers","title":"MRI factors to predict urinary incontinence after retropubic/laparoscopic radical prostatectomy","type":"article-journal","volume":"47"},"uris":["http://www.mendeley.com/documents/?uuid=67c1c79f-928a-3c85-9bc1-9b9afe5d55e9"]},{"id":"ITEM-8","itemData":{"DOI":"10.1007/s00345-012-0857-6","ISSN":"07244983","abstract":"Purpose: The dorsal vascular complex (DVC) of the prostate is considered to be a functional structure having smooth muscles that are connected to the detrusor apron. We conducted this study to provide basic information regarding DVC size as measured by magnetic resonance imaging and to investigate whether DVC size is related to the recovery of continence following radical prostatectomy (RP). Methods: We prospectively collected data that included the results of prostate MRI and continence recovery of patients who underwent RP. From April 2006 through February 2010, 862 patients underwent RP. Of these, a total of 731 cases were included in the final analysis. The height and width of the DVC were measured in the T1-weighted axial image at the level that showed the puboprostatic ligament. Results: The continence rate of the total patient cohort at 12 months was 96. 7 %. The mean width, height and area of the DVC were 2. 0 ± 0. 4 cm, 1. 2 ± 0. 3 cm and 1. 8 ± 0. 6 cm2, respectively, and there was no linear correlation between continence recovery and these parameters. However, the patients who had a moderately large-sized DVC (2. 3-2. 8 cm2) regained their continence significantly sooner (mean duration = 2. 1 months) than those with small (3. 7 months, p = 0. 002) or extremely large DVC (4. 0 months, p = 0. 006). In a multivariate analysis, DVC size, age, transfusion and the length of membranous urethra were significant predictors of continence recovery. Conclusion: The patients who had a moderately large DVC regained continence faster following RP. © 2012 Springer-Verlag.","author":[{"dropping-particle":"","family":"Jeong","given":"Chang Wook","non-dropping-particle":"","parse-names":false,"suffix":""},{"dropping-particle":"","family":"Oh","given":"Jong Jin","non-dropping-particle":"","parse-names":false,"suffix":""},{"dropping-particle":"","family":"Jeong","given":"Seong Jin","non-dropping-particle":"","parse-names":false,"suffix":""},{"dropping-particle":"","family":"Hong","given":"Sung Kyu","non-dropping-particle":"","parse-names":false,"suffix":""},{"dropping-particle":"","family":"Byun","given":"Seok Soo","non-dropping-particle":"","parse-names":false,"suffix":""},{"dropping-particle":"Il","family":"Hwang","given":"Sung","non-dropping-particle":"","parse-names":false,"suffix":""},{"dropping-particle":"","family":"Lee","given":"Hak Jong","non-dropping-particle":"","parse-names":false,"suffix":""},{"dropping-particle":"","family":"Lee","given":"Sang Eun","non-dropping-particle":"","parse-names":false,"suffix":""}],"container-title":"World Journal of Urology","id":"ITEM-8","issue":"2","issued":{"date-parts":[["2013"]]},"page":"383-388","publisher":"World J Urol","title":"Effect of dorsal vascular complex size on the recovery of continence after radical prostatectomy","type":"article-journal","volume":"31"},"uris":["http://www.mendeley.com/documents/?uuid=0aa0a1f9-09e0-37f4-9fee-3a5003d0e17f"]},{"id":"ITEM-9","itemData":{"DOI":"10.1089/end.2010.0692","ISSN":"08927790","abstract":"Background and Purpose: Membranous urethral length is one of several factors that can influence return of continence after radical prostatectomy. Using our robot-assisted laparoscopic prostatectomy (RALP) database, we assessed which preoperative (with endorectal coil MRI [eMRI]) and intraoperative anatomic measurements correlate with return to urinary continence (no pads) and continence quality of life (CQOL) as determined by the International Consultation on Incontinence Questionnaire (ICIQ) score. Patients and Methods: A total of 75 patients who underwent RALP and eMRI by a single surgeon were analyzed. To emulate the distal continence zone intraoperatively, stretched urethral length (distance from the perineal membrane to the prostate apex on stretch) and cut urethral length (urethral stump length) were individually measured and recorded after apical dissection. Preoperative International Prostate Symptom Scores (IPSS) were recorded. Univariate and multivariate Cox regression analysis were performed to determine the association between MRI-measured and intraoperative urethral lengths and return to continence as well as CQOL. Results: None of the urethral measurements as determined by eMRI correlated with continence or ICIQ scores. On multivariate analysis, only membranous urethral length on eMRI approached significance with respect to ICIQ (P=0.07). On multivariate analysis controlling for preoperative age, body mass index, IPSS score, and gland size, both stretched and cut urethral length correlated with decreased time to continence (P=0.03 and P=0.04 respectively). Conclusion: Longer stretched and cut urethral lengths appear to correlate with faster return to a pad-free state. Attention to maximal preservation of the distal continence mechanism is important for optimal continence outcomes after RALP. © Copyright 2011, Mary Ann Liebert, Inc.","author":[{"dropping-particle":"","family":"Hakimi","given":"A. Ari","non-dropping-particle":"","parse-names":false,"suffix":""},{"dropping-particle":"","family":"Faleck","given":"David M.","non-dropping-particle":"","parse-names":false,"suffix":""},{"dropping-particle":"","family":"Agalliu","given":"Ilir","non-dropping-particle":"","parse-names":false,"suffix":""},{"dropping-particle":"","family":"Rozenblit","given":"Alla M.","non-dropping-particle":"","parse-names":false,"suffix":""},{"dropping-particle":"","family":"Chernyak","given":"Victoria","non-dropping-particle":"","parse-names":false,"suffix":""},{"dropping-particle":"","family":"Ghavamian","given":"Reza","non-dropping-particle":"","parse-names":false,"suffix":""}],"container-title":"Journal of Endourology","id":"ITEM-9","issue":"6","issued":{"date-parts":[["2011","6","1"]]},"page":"1025-1030","publisher":"J Endourol","title":"Preoperative and intraoperative measurements of urethral length as predictors of continence after robot-assisted radical prostatectomy","type":"article-journal","volume":"25"},"uris":["http://www.mendeley.com/documents/?uuid=19fd137b-fc0a-3fb3-a5d4-37579bbcf602"]}],"mendeley":{"formattedCitation":"&lt;sup&gt;8,11–18&lt;/sup&gt;","plainTextFormattedCitation":"8,11–18","previouslyFormattedCitation":"&lt;sup&gt;8,11–18&lt;/sup&gt;"},"properties":{"noteIndex":0},"schema":"https://github.com/citation-style-language/schema/raw/master/csl-citation.json"}</w:instrText>
      </w:r>
      <w:r w:rsidR="0048715A">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8,11–18</w:t>
      </w:r>
      <w:r w:rsidR="0048715A">
        <w:rPr>
          <w:rFonts w:asciiTheme="minorHAnsi" w:hAnsiTheme="minorHAnsi" w:cstheme="minorHAnsi"/>
          <w:sz w:val="22"/>
          <w:szCs w:val="22"/>
        </w:rPr>
        <w:fldChar w:fldCharType="end"/>
      </w:r>
      <w:r w:rsidR="006913CA">
        <w:rPr>
          <w:rFonts w:asciiTheme="minorHAnsi" w:hAnsiTheme="minorHAnsi" w:cstheme="minorHAnsi"/>
          <w:sz w:val="22"/>
          <w:szCs w:val="22"/>
        </w:rPr>
        <w:t xml:space="preserve">, </w:t>
      </w:r>
      <w:r w:rsidR="0041054D">
        <w:rPr>
          <w:rFonts w:asciiTheme="minorHAnsi" w:hAnsiTheme="minorHAnsi" w:cstheme="minorHAnsi"/>
          <w:sz w:val="22"/>
          <w:szCs w:val="22"/>
        </w:rPr>
        <w:t xml:space="preserve">closer proximity of </w:t>
      </w:r>
      <w:r w:rsidR="00AF7C19">
        <w:rPr>
          <w:rFonts w:asciiTheme="minorHAnsi" w:hAnsiTheme="minorHAnsi" w:cstheme="minorHAnsi"/>
          <w:sz w:val="22"/>
          <w:szCs w:val="22"/>
        </w:rPr>
        <w:t xml:space="preserve">the </w:t>
      </w:r>
      <w:r w:rsidR="0041054D">
        <w:rPr>
          <w:rFonts w:asciiTheme="minorHAnsi" w:hAnsiTheme="minorHAnsi" w:cstheme="minorHAnsi"/>
          <w:sz w:val="22"/>
          <w:szCs w:val="22"/>
        </w:rPr>
        <w:t>levator muscle</w:t>
      </w:r>
      <w:r w:rsidR="00AF7C19">
        <w:rPr>
          <w:rFonts w:asciiTheme="minorHAnsi" w:hAnsiTheme="minorHAnsi" w:cstheme="minorHAnsi"/>
          <w:sz w:val="22"/>
          <w:szCs w:val="22"/>
        </w:rPr>
        <w:t>s</w:t>
      </w:r>
      <w:r w:rsidR="0041054D">
        <w:rPr>
          <w:rFonts w:asciiTheme="minorHAnsi" w:hAnsiTheme="minorHAnsi" w:cstheme="minorHAnsi"/>
          <w:sz w:val="22"/>
          <w:szCs w:val="22"/>
        </w:rPr>
        <w:t xml:space="preserve"> to </w:t>
      </w:r>
      <w:r w:rsidR="00AF7C19">
        <w:rPr>
          <w:rFonts w:asciiTheme="minorHAnsi" w:hAnsiTheme="minorHAnsi" w:cstheme="minorHAnsi"/>
          <w:sz w:val="22"/>
          <w:szCs w:val="22"/>
        </w:rPr>
        <w:t xml:space="preserve">the </w:t>
      </w:r>
      <w:r w:rsidR="0041054D">
        <w:rPr>
          <w:rFonts w:asciiTheme="minorHAnsi" w:hAnsiTheme="minorHAnsi" w:cstheme="minorHAnsi"/>
          <w:sz w:val="22"/>
          <w:szCs w:val="22"/>
        </w:rPr>
        <w:t>membranous urethra</w:t>
      </w:r>
      <w:r w:rsidR="0041054D">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41054D">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41054D">
        <w:rPr>
          <w:rFonts w:asciiTheme="minorHAnsi" w:hAnsiTheme="minorHAnsi" w:cstheme="minorHAnsi"/>
          <w:sz w:val="22"/>
          <w:szCs w:val="22"/>
        </w:rPr>
        <w:fldChar w:fldCharType="end"/>
      </w:r>
      <w:r w:rsidR="0041054D">
        <w:rPr>
          <w:rFonts w:asciiTheme="minorHAnsi" w:hAnsiTheme="minorHAnsi" w:cstheme="minorHAnsi"/>
          <w:sz w:val="22"/>
          <w:szCs w:val="22"/>
        </w:rPr>
        <w:t>,</w:t>
      </w:r>
      <w:r w:rsidR="005C7828">
        <w:rPr>
          <w:rFonts w:asciiTheme="minorHAnsi" w:hAnsiTheme="minorHAnsi" w:cstheme="minorHAnsi"/>
          <w:sz w:val="22"/>
          <w:szCs w:val="22"/>
        </w:rPr>
        <w:t xml:space="preserve"> </w:t>
      </w:r>
      <w:r w:rsidR="00496332">
        <w:rPr>
          <w:rFonts w:asciiTheme="minorHAnsi" w:hAnsiTheme="minorHAnsi" w:cstheme="minorHAnsi"/>
          <w:sz w:val="22"/>
          <w:szCs w:val="22"/>
        </w:rPr>
        <w:t xml:space="preserve">and </w:t>
      </w:r>
      <w:r w:rsidR="005C7828" w:rsidRPr="005C7828">
        <w:rPr>
          <w:rFonts w:asciiTheme="minorHAnsi" w:hAnsiTheme="minorHAnsi" w:cstheme="minorHAnsi"/>
          <w:sz w:val="22"/>
          <w:szCs w:val="22"/>
        </w:rPr>
        <w:t xml:space="preserve">the angle between the </w:t>
      </w:r>
      <w:r w:rsidR="00AF7C19">
        <w:rPr>
          <w:rFonts w:asciiTheme="minorHAnsi" w:hAnsiTheme="minorHAnsi" w:cstheme="minorHAnsi"/>
          <w:sz w:val="22"/>
          <w:szCs w:val="22"/>
        </w:rPr>
        <w:t xml:space="preserve">membranous </w:t>
      </w:r>
      <w:r w:rsidR="005C7828" w:rsidRPr="005C7828">
        <w:rPr>
          <w:rFonts w:asciiTheme="minorHAnsi" w:hAnsiTheme="minorHAnsi" w:cstheme="minorHAnsi"/>
          <w:sz w:val="22"/>
          <w:szCs w:val="22"/>
        </w:rPr>
        <w:t xml:space="preserve">urethra and </w:t>
      </w:r>
      <w:r w:rsidR="009E72D0">
        <w:rPr>
          <w:rFonts w:asciiTheme="minorHAnsi" w:hAnsiTheme="minorHAnsi" w:cstheme="minorHAnsi"/>
          <w:sz w:val="22"/>
          <w:szCs w:val="22"/>
        </w:rPr>
        <w:t>prostatic axis</w:t>
      </w:r>
      <w:r w:rsidR="0048715A">
        <w:rPr>
          <w:rFonts w:asciiTheme="minorHAnsi" w:hAnsiTheme="minorHAnsi" w:cstheme="minorHAnsi"/>
          <w:sz w:val="22"/>
          <w:szCs w:val="22"/>
        </w:rPr>
        <w:t xml:space="preserve"> (</w:t>
      </w:r>
      <w:proofErr w:type="spellStart"/>
      <w:r w:rsidR="0048715A">
        <w:rPr>
          <w:rFonts w:asciiTheme="minorHAnsi" w:hAnsiTheme="minorHAnsi" w:cstheme="minorHAnsi"/>
          <w:sz w:val="22"/>
          <w:szCs w:val="22"/>
        </w:rPr>
        <w:t>aMUP</w:t>
      </w:r>
      <w:proofErr w:type="spellEnd"/>
      <w:r w:rsidR="0048715A">
        <w:rPr>
          <w:rFonts w:asciiTheme="minorHAnsi" w:hAnsiTheme="minorHAnsi" w:cstheme="minorHAnsi"/>
          <w:sz w:val="22"/>
          <w:szCs w:val="22"/>
        </w:rPr>
        <w:t>)</w:t>
      </w:r>
      <w:r w:rsidR="005C7828">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2018.02.175","author":[{"dropping-particle":"","family":"Regis","given":"Lucas","non-dropping-particle":"","parse-names":false,"suffix":""},{"dropping-particle":"","family":"Cuadras","given":"Merce","non-dropping-particle":"","parse-names":false,"suffix":""},{"dropping-particle":"","family":"Miret","given":"Enric","non-dropping-particle":"","parse-names":false,"suffix":""},{"dropping-particle":"","family":"Lopez","given":"Ricardo","non-dropping-particle":"","parse-names":false,"suffix":""},{"dropping-particle":"","family":"Salazar","given":"Aina","non-dropping-particle":"","parse-names":false,"suffix":""},{"dropping-particle":"","family":"Roche","given":"Sarai","non-dropping-particle":"","parse-names":false,"suffix":""},{"dropping-particle":"","family":"Celma","given":"Ana","non-dropping-particle":"","parse-names":false,"suffix":""},{"dropping-particle":"","family":"Lorente","given":"David","non-dropping-particle":"","parse-names":false,"suffix":""},{"dropping-particle":"","family":"Placer","given":"Jose","non-dropping-particle":"","parse-names":false,"suffix":""},{"dropping-particle":"","family":"Planas","given":"Jacques","non-dropping-particle":"","parse-names":false,"suffix":""},{"dropping-particle":"","family":"Trilla","given":"Enrique","non-dropping-particle":"","parse-names":false,"suffix":""},{"dropping-particle":"","family":"Morote","given":"Juan","non-dropping-particle":"","parse-names":false,"suffix":""}],"container-title":"The Journal of Urology","id":"ITEM-1","issued":{"date-parts":[["2018"]]},"publisher":"Wolters KluwerPhiladelphia, PA","title":"MP05-04 ANATOMICAL BENCHMARKS IN PREOPERATIVE MAGNETIC RESONANCE IMAGING PREDICT EARLY CONTINENCE RECOVERY FOLLOWING ROBOTIC RADICAL PROSTATECTOMY","type":"article-journal"},"uris":["http://www.mendeley.com/documents/?uuid=6905cf00-93b7-31d2-a740-301f807cdbee"]}],"mendeley":{"formattedCitation":"&lt;sup&gt;19&lt;/sup&gt;","plainTextFormattedCitation":"19","previouslyFormattedCitation":"&lt;sup&gt;19&lt;/sup&gt;"},"properties":{"noteIndex":0},"schema":"https://github.com/citation-style-language/schema/raw/master/csl-citation.json"}</w:instrText>
      </w:r>
      <w:r w:rsidR="005C7828">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19</w:t>
      </w:r>
      <w:r w:rsidR="005C7828">
        <w:rPr>
          <w:rFonts w:asciiTheme="minorHAnsi" w:hAnsiTheme="minorHAnsi" w:cstheme="minorHAnsi"/>
          <w:sz w:val="22"/>
          <w:szCs w:val="22"/>
        </w:rPr>
        <w:fldChar w:fldCharType="end"/>
      </w:r>
      <w:r w:rsidR="0041054D">
        <w:rPr>
          <w:rFonts w:asciiTheme="minorHAnsi" w:hAnsiTheme="minorHAnsi" w:cstheme="minorHAnsi"/>
          <w:sz w:val="22"/>
          <w:szCs w:val="22"/>
        </w:rPr>
        <w:t>.</w:t>
      </w:r>
      <w:r w:rsidR="004760F1">
        <w:rPr>
          <w:rFonts w:asciiTheme="minorHAnsi" w:hAnsiTheme="minorHAnsi" w:cstheme="minorHAnsi"/>
          <w:sz w:val="22"/>
          <w:szCs w:val="22"/>
        </w:rPr>
        <w:t xml:space="preserve"> </w:t>
      </w:r>
      <w:r w:rsidR="0048715A">
        <w:rPr>
          <w:rFonts w:asciiTheme="minorHAnsi" w:hAnsiTheme="minorHAnsi" w:cstheme="minorHAnsi"/>
          <w:sz w:val="22"/>
          <w:szCs w:val="22"/>
        </w:rPr>
        <w:t xml:space="preserve">The </w:t>
      </w:r>
      <w:proofErr w:type="spellStart"/>
      <w:r w:rsidR="0048715A">
        <w:rPr>
          <w:rFonts w:asciiTheme="minorHAnsi" w:hAnsiTheme="minorHAnsi" w:cstheme="minorHAnsi"/>
          <w:sz w:val="22"/>
          <w:szCs w:val="22"/>
        </w:rPr>
        <w:t>pubourethral</w:t>
      </w:r>
      <w:proofErr w:type="spellEnd"/>
      <w:r w:rsidR="0048715A">
        <w:rPr>
          <w:rFonts w:asciiTheme="minorHAnsi" w:hAnsiTheme="minorHAnsi" w:cstheme="minorHAnsi"/>
          <w:sz w:val="22"/>
          <w:szCs w:val="22"/>
        </w:rPr>
        <w:t xml:space="preserve"> angle</w:t>
      </w:r>
      <w:r w:rsidR="003C3787">
        <w:rPr>
          <w:rFonts w:asciiTheme="minorHAnsi" w:hAnsiTheme="minorHAnsi" w:cstheme="minorHAnsi"/>
          <w:sz w:val="22"/>
          <w:szCs w:val="22"/>
        </w:rPr>
        <w:t xml:space="preserve"> has been associated with stress and mixed incontinence in women, but has not been previously evaluated in men</w:t>
      </w:r>
      <w:r w:rsidR="00174E94">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{"citationItems":[{"id":"ITEM-1","itemData":{"DOI":"10.1002/jum.14626","ISSN":"02784297","abstract":"Objectives—This study aimed to compare urodynamic studies (UDS) and perineal ultrasonography (US) for the assessment of mixed urinary incontinence (MUI) in women in China. Methods—Adult women with MUI and healthy control participants were enrolled from 2 centers in China (Zhejiang and Beijing) between September 2010 and April 2017. Baseline clinical characteristics were recorded. The MUI type was categorized by the King’s Health Questionnaire: stress-predominant, urge-predominant, or equal predominance. Urodynamic studies were performed, followed within 1 week by perineal US. Tolerability of the investigations was compared by a 3-point scale: better than, worse than, or equal to. Results—For UDS parameters, compared with controls, the urge-predominant MUI group had a lower maximal flow rate, smaller bladder volume, higher detrusor pressure at urethral opening, higher detrusor pressure at maximal flow, and higher incidence of detrusor overactivity; the stress-predominant MUI group had a lower maximal urethral closure pressure and functional urethral length; and the equal MUI group had a higher detrusor pressure at maximal flow and lower maximal urethral closure pressure (P&lt;.05). For US parameters, compared with controls, the stresspredominant MUI group had a greater dynamic posterior urethral angle, dynamic angle of urethral inclination, descent of the bladder neck, and dynamic pubourethral distance; the urge-predominant MUI group had a greater detrusor thickness; and the equal MUI group had a greater descent of the bladder neck (P&lt;.05). All UDS and US parameters differed significantly between the stress-predominant and urgepredominant groups (P&lt;.05). The dynamic angle of urethral inclination, descent of the bladder neck, and dynamic pubourethral distance were inversely correlated with detrusor pressure at maximal flow and functional urethral length, while detrusor wall thickness was positively correlated with detrusor pressure at maximal flow and functional urethral length. Perineal US was better tolerated than UDS. Conclusions—Perineal US parameters show good correlations with UDS parameters. Ultrasonography is better tolerated than UDS and provides additional morphologic data. Perineal US could facilitate the diagnosis of urge-predominant MUI.","author":[{"dropping-particle":"","family":"Hu","given":"Yang","non-dropping-particle":"","parse-names":false,"suffix":""},{"dropping-particle":"","family":"Lou","given":"Yelin","non-dropping-particle":"","parse-names":false,"suffix":""},{"dropping-particle":"","family":"Liao","given":"Limin","non-dropping-particle":"","parse-names":false,"suffix":""},{"dropping-particle":"","family":"Xu","given":"Min","non-dropping-particle":"","parse-names":false,"suffix":""},{"dropping-particle":"","family":"Zhang","given":"Heng","non-dropping-particle":"","parse-names":false,"suffix":""},{"dropping-particle":"","family":"Yang","given":"Qing","non-dropping-particle":"","parse-names":false,"suffix":""},{"dropping-particle":"","family":"Wu","given":"Haixiao","non-dropping-particle":"","parse-names":false,"suffix":""}],"container-title":"Journal of Ultrasound in Medicine","id":"ITEM-1","issue":"11","issued":{"date-parts":[["2018","11","1"]]},"page":"2647-2656","publisher":"John Wiley and Sons Ltd.","title":"Comparison of Urodynamics and Perineal Ultrasonography for the Diagnosis of Mixed Urinary Incontinence in Women","type":"article-journal","volume":"37"},"uris":["http://www.mendeley.com/documents/?uuid=9fa3f95e-f94c-3145-864f-d88170249d61"]},{"id":"ITEM-2","itemData":{"DOI":"10.1007/s00192-004-1228-7","ISSN":"09373462","abstract":"Ultrasound is a supplementary, indispensable diagnostic procedure in urogynecology; perineal, introital, and endoanal ultrasound are the most recommended techniques. The position and mobility of the bladder neck can be demonstrated. In patients undergoing diagnostic work-up for urge symptoms, ultrasound occasionally demonstrates urethral diverticula, leiomyomas, and cysts in the vaginal wall. These findings will lead to further diagnostic assessment. The same applies to the demonstration of bladder diverticula, foreign bodies in the bladder, and bullous edema. With endoanal ultrasound, different parts of the sphincter ani muscle can be evaluated. Recommendations for the standardized use of urogenital ultrasound are given. © International Urogynecology Journal 2004.","author":[{"dropping-particle":"","family":"Tunn","given":"R.","non-dropping-particle":"","parse-names":false,"suffix":""},{"dropping-particle":"","family":"Schaer","given":"G.","non-dropping-particle":"","parse-names":false,"suffix":""},{"dropping-particle":"","family":"Peschers","given":"Ursula","non-dropping-particle":"","parse-names":false,"suffix":""},{"dropping-particle":"","family":"Bader","given":"W.","non-dropping-particle":"","parse-names":false,"suffix":""},{"dropping-particle":"","family":"Gauruder","given":"A.","non-dropping-particle":"","parse-names":false,"suffix":""},{"dropping-particle":"","family":"Hanzal","given":"E.","non-dropping-particle":"","parse-names":false,"suffix":""},{"dropping-particle":"","family":"Koelbl","given":"H.","non-dropping-particle":"","parse-names":false,"suffix":""},{"dropping-particle":"","family":"Koelle","given":"D.","non-dropping-particle":"","parse-names":false,"suffix":""},{"dropping-particle":"","family":"Perucchini","given":"D.","non-dropping-particle":"","parse-names":false,"suffix":""},{"dropping-particle":"","family":"Petri","given":"E.","non-dropping-particle":"","parse-names":false,"suffix":""},{"dropping-particle":"","family":"Riss","given":"P.","non-dropping-particle":"","parse-names":false,"suffix":""},{"dropping-particle":"","family":"Schuessler","given":"B.","non-dropping-particle":"","parse-names":false,"suffix":""},{"dropping-particle":"","family":"Viereck","given":"V.","non-dropping-particle":"","parse-names":false,"suffix":""}],"container-title":"International Urogynecology Journal","id":"ITEM-2","issue":"3","issued":{"date-parts":[["2005"]]},"page":"236-241","publisher":"Springer London","title":"Updated recommendations on ultrasonography in urogynecology","type":"article","volume":"16"},"uris":["http://www.mendeley.com/documents/?uuid=82cb6347-3dd3-333a-b565-a8cae667de91"]}],"mendeley":{"formattedCitation":"&lt;sup&gt;20,21&lt;/sup&gt;","plainTextFormattedCitation":"20,21","previouslyFormattedCitation":"&lt;sup&gt;20,21&lt;/sup&gt;"},"properties":{"noteIndex":0},"schema":"https://github.com/citation-style-language/schema/raw/master/csl-citation.json"}</w:instrText>
      </w:r>
      <w:r w:rsidR="00174E94">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20,21</w:t>
      </w:r>
      <w:r w:rsidR="00174E94">
        <w:rPr>
          <w:rFonts w:asciiTheme="minorHAnsi" w:hAnsiTheme="minorHAnsi" w:cstheme="minorHAnsi"/>
          <w:sz w:val="22"/>
          <w:szCs w:val="22"/>
        </w:rPr>
        <w:fldChar w:fldCharType="end"/>
      </w:r>
      <w:r w:rsidR="0048715A">
        <w:rPr>
          <w:rFonts w:asciiTheme="minorHAnsi" w:hAnsiTheme="minorHAnsi" w:cstheme="minorHAnsi"/>
          <w:sz w:val="22"/>
          <w:szCs w:val="22"/>
        </w:rPr>
        <w:t xml:space="preserve">. </w:t>
      </w:r>
    </w:p>
    <w:p w14:paraId="46462884" w14:textId="52783472" w:rsidR="00C30A08" w:rsidRDefault="00AF7C19" w:rsidP="007C2A5A">
      <w:pPr>
        <w:spacing w:line="480" w:lineRule="auto"/>
        <w:ind w:firstLine="720"/>
        <w:rPr>
          <w:rFonts w:asciiTheme="minorHAnsi" w:hAnsiTheme="minorHAnsi" w:cstheme="minorHAnsi"/>
          <w:sz w:val="22"/>
          <w:szCs w:val="22"/>
        </w:rPr>
      </w:pPr>
      <w:r>
        <w:rPr>
          <w:rFonts w:asciiTheme="minorHAnsi" w:hAnsiTheme="minorHAnsi" w:cstheme="minorHAnsi"/>
          <w:sz w:val="22"/>
          <w:szCs w:val="22"/>
        </w:rPr>
        <w:t>T</w:t>
      </w:r>
      <w:r w:rsidR="00892997">
        <w:rPr>
          <w:rFonts w:asciiTheme="minorHAnsi" w:hAnsiTheme="minorHAnsi" w:cstheme="minorHAnsi"/>
          <w:sz w:val="22"/>
          <w:szCs w:val="22"/>
        </w:rPr>
        <w:t>he membranous urethra is theorized to</w:t>
      </w:r>
      <w:r w:rsidR="00892997" w:rsidRPr="00892997">
        <w:rPr>
          <w:rFonts w:asciiTheme="minorHAnsi" w:hAnsiTheme="minorHAnsi" w:cstheme="minorHAnsi"/>
          <w:sz w:val="22"/>
          <w:szCs w:val="22"/>
        </w:rPr>
        <w:t xml:space="preserve"> </w:t>
      </w:r>
      <w:r w:rsidR="00892997">
        <w:rPr>
          <w:rFonts w:asciiTheme="minorHAnsi" w:hAnsiTheme="minorHAnsi" w:cstheme="minorHAnsi"/>
          <w:sz w:val="22"/>
          <w:szCs w:val="22"/>
        </w:rPr>
        <w:t xml:space="preserve">be a </w:t>
      </w:r>
      <w:r>
        <w:rPr>
          <w:rFonts w:asciiTheme="minorHAnsi" w:hAnsiTheme="minorHAnsi" w:cstheme="minorHAnsi"/>
          <w:sz w:val="22"/>
          <w:szCs w:val="22"/>
        </w:rPr>
        <w:t xml:space="preserve">major </w:t>
      </w:r>
      <w:r w:rsidR="00892997">
        <w:rPr>
          <w:rFonts w:asciiTheme="minorHAnsi" w:hAnsiTheme="minorHAnsi" w:cstheme="minorHAnsi"/>
          <w:sz w:val="22"/>
          <w:szCs w:val="22"/>
        </w:rPr>
        <w:t>contributor to post-</w:t>
      </w:r>
      <w:r>
        <w:rPr>
          <w:rFonts w:asciiTheme="minorHAnsi" w:hAnsiTheme="minorHAnsi" w:cstheme="minorHAnsi"/>
          <w:sz w:val="22"/>
          <w:szCs w:val="22"/>
        </w:rPr>
        <w:t xml:space="preserve">RP </w:t>
      </w:r>
      <w:r w:rsidR="00892997">
        <w:rPr>
          <w:rFonts w:asciiTheme="minorHAnsi" w:hAnsiTheme="minorHAnsi" w:cstheme="minorHAnsi"/>
          <w:sz w:val="22"/>
          <w:szCs w:val="22"/>
        </w:rPr>
        <w:t>continence because there is a</w:t>
      </w:r>
      <w:r w:rsidR="004760F1">
        <w:rPr>
          <w:rFonts w:asciiTheme="minorHAnsi" w:hAnsiTheme="minorHAnsi" w:cstheme="minorHAnsi"/>
          <w:sz w:val="22"/>
          <w:szCs w:val="22"/>
        </w:rPr>
        <w:t xml:space="preserve"> </w:t>
      </w:r>
      <w:r w:rsidR="00EC44BD">
        <w:rPr>
          <w:rFonts w:asciiTheme="minorHAnsi" w:hAnsiTheme="minorHAnsi" w:cstheme="minorHAnsi"/>
          <w:sz w:val="22"/>
          <w:szCs w:val="22"/>
        </w:rPr>
        <w:t>striated sphincter surrounding the membranous urethr</w:t>
      </w:r>
      <w:r w:rsidR="00892997">
        <w:rPr>
          <w:rFonts w:asciiTheme="minorHAnsi" w:hAnsiTheme="minorHAnsi" w:cstheme="minorHAnsi"/>
          <w:sz w:val="22"/>
          <w:szCs w:val="22"/>
        </w:rPr>
        <w:t>a</w:t>
      </w:r>
      <w:r w:rsidR="00892997">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{"citationItems":[{"id":"ITEM-1","itemData":{"DOI":"10.1016/S0022-5347(01)63297-X","ISSN":"00225347","PMID":"9598561","abstract":"Purpose: We examined and defined anatomical structures relevant to radical prostatectomy using magnetic resonance imaging. Materials and Methods: Before radical prostatectomy, 15 men underwent high-resolution magnetic resonance imaging studies of their pelvic floors (fast spin echo, T2 weighting of 3- to 4-mm. contiguous or overlapping slices) in axial, coronal, and sagittal planes. Results: Pubovesical ligaments, rather than the commonly reported puboprostatic ligaments, were observed attaching the bladder- prostate unit to the pubis. We suggest that the part of the urethra that extends from the apex of the prostate to the bulb of the penis, which is surrounded by the striated sphincter, should be termed the sphincteric urethra rather than the membranous urethra. Further, we found no evidence that supports the traditional concept of a urogenital diaphragm. The lower part of the striated urethral sphincter was flanked on its sides by the anterior recesses of the ischioanal fossae. The portion of the levator ani, which we have termed the puboanalis sling, flanked the apex of the prostate. The most anteromedial portion of this sling inserts into the perineal body and should be termed the puboperinealis. The terminal part of the gastrointestinal tract (the part continued beyond the levator ani) should be termed the anal canal, not the rectum, as used frequently in the urologic literature. Therefore, the initial plane of dissection in radical perineal prostatectomy passes along the anterior portion of the anal canal, not the rectum. Conclusion: We used magnetic resonance imaging to study male pelvic floor and perineal anatomy without the artifact of dissection. This study allowed us to devise a more precise nomenclature with respect to radical prostatectomy and, in so doing, to provide a better understanding of both the retropubic and the perineal operations.","author":[{"dropping-particle":"","family":"Myers","given":"Robert P.","non-dropping-particle":"","parse-names":false,"suffix":""},{"dropping-particle":"","family":"Cahill","given":"Donald R.","non-dropping-particle":"","parse-names":false,"suffix":""},{"dropping-particle":"","family":"Devine","given":"Richard M.","non-dropping-particle":"","parse-names":false,"suffix":""},{"dropping-particle":"","family":"King","given":"Bernard F.","non-dropping-particle":"","parse-names":false,"suffix":""}],"container-title":"Journal of Urology","id":"ITEM-1","issue":"6","issued":{"date-parts":[["1998"]]},"page":"2148-2158","publisher":"Lippincott Williams and Wilkins","title":"Anatomy of radical prostatectomy as defined by magnetic resonance imaging","type":"article-journal","volume":"159"},"uris":["http://www.mendeley.com/documents/?uuid=73b55ae6-4a89-37ba-bb06-142d491e85a3"]},{"id":"ITEM-2","itemData":{"DOI":"10.1002/nau.22355","ISSN":"07332467","abstract":"Aims Urethral sphincter incompetence is generally considered to be the most important contributing factor to post-radical prostatectomy incontinence (PRPI). The value of various assessment techniques used to objectify urethral sphincter function before and/or after RP is unclear. Our review addresses the following questions: In men having to undergo RP, which measurement techniques that assess pre-operative and post-operative urethral sphincter function have predictive value for the post-operative continence status or correlate with the post-operative continence status. Methods A systematic and comprehensive search was performed using the terms: urethral sphincter, radical prostatectomy (RP), and urinary incontinence. Results were restricted to English-language papers published between 1980 and March 2012. Only techniques described by at least two studies were included. Results Several assessment techniques for urethral sphincter function and anatomy were identified: sphincter electromyography, magnetic resonance imaging (MRI), perfusion sphincterometry and urethral pressure profilometry (UPP). A shorter urethral sphincter length on preoperative endorectal MRI might be associated with an increased risk of PRPI as well as longer time to achieve continence. UPP showed that both maximum urethral closure pressure (MUCP) and functional profile length (FPL) decrease significantly after RRP. Low preoperative MUCP and FPL are associated with an increased risk of PRPI. The other mentioned assessment techniques are not usable as preoperative diagnostic tools. Conclusions MRI and UPP might be valuable preoperative diagnostic tools in patients waiting for RRP. However, more and larger studies are needed to show the exact role of MRI and UPP in the preoperative management of patients waiting for RRP and for whom post-operative incontinence is a big concern. Neurourol. Urodynam. 32: 957-963, 2013. © 2013 Wiley Periodicals, Inc. Copyright © 2013 Wiley Periodicals, Inc.","author":[{"dropping-particle":"","family":"Dubbelman","given":"Yvette D.","non-dropping-particle":"","parse-names":false,"suffix":""},{"dropping-particle":"","family":"Bosch","given":"J. L.H.Ruud","non-dropping-particle":"","parse-names":false,"suffix":""}],"container-title":"Neurourology and Urodynamics","id":"ITEM-2","issue":"7","issued":{"date-parts":[["2013","9"]]},"page":"957-963","publisher":"Neurourol Urodyn","title":"Urethral sphincter function before and after radical prostatectomy: Systematic review of the prognostic value of various assessment techniques","type":"article-journal","volume":"32"},"uris":["http://www.mendeley.com/documents/?uuid=c602f360-53cf-320f-a784-662e50e2ae13"]}],"mendeley":{"formattedCitation":"&lt;sup&gt;22,23&lt;/sup&gt;","plainTextFormattedCitation":"22,23","previouslyFormattedCitation":"&lt;sup&gt;22,23&lt;/sup&gt;"},"properties":{"noteIndex":0},"schema":"https://github.com/citation-style-language/schema/raw/master/csl-citation.json"}</w:instrText>
      </w:r>
      <w:r w:rsidR="00892997">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22,23</w:t>
      </w:r>
      <w:r w:rsidR="00892997">
        <w:rPr>
          <w:rFonts w:asciiTheme="minorHAnsi" w:hAnsiTheme="minorHAnsi" w:cstheme="minorHAnsi"/>
          <w:sz w:val="22"/>
          <w:szCs w:val="22"/>
        </w:rPr>
        <w:fldChar w:fldCharType="end"/>
      </w:r>
      <w:r w:rsidR="00892997">
        <w:rPr>
          <w:rFonts w:asciiTheme="minorHAnsi" w:hAnsiTheme="minorHAnsi" w:cstheme="minorHAnsi"/>
          <w:sz w:val="22"/>
          <w:szCs w:val="22"/>
        </w:rPr>
        <w:t xml:space="preserve">. The sphincter and its </w:t>
      </w:r>
      <w:r w:rsidR="00EC44BD">
        <w:rPr>
          <w:rFonts w:asciiTheme="minorHAnsi" w:hAnsiTheme="minorHAnsi" w:cstheme="minorHAnsi"/>
          <w:sz w:val="22"/>
          <w:szCs w:val="22"/>
        </w:rPr>
        <w:t xml:space="preserve">nerve supply </w:t>
      </w:r>
      <w:r w:rsidR="00892997">
        <w:rPr>
          <w:rFonts w:asciiTheme="minorHAnsi" w:hAnsiTheme="minorHAnsi" w:cstheme="minorHAnsi"/>
          <w:sz w:val="22"/>
          <w:szCs w:val="22"/>
        </w:rPr>
        <w:t>may</w:t>
      </w:r>
      <w:r w:rsidR="00EC44BD">
        <w:rPr>
          <w:rFonts w:asciiTheme="minorHAnsi" w:hAnsiTheme="minorHAnsi" w:cstheme="minorHAnsi"/>
          <w:sz w:val="22"/>
          <w:szCs w:val="22"/>
        </w:rPr>
        <w:t xml:space="preserve"> be damaged during surgical dissection</w:t>
      </w:r>
      <w:r w:rsidR="00892997">
        <w:rPr>
          <w:rFonts w:asciiTheme="minorHAnsi" w:hAnsiTheme="minorHAnsi" w:cstheme="minorHAnsi"/>
          <w:sz w:val="22"/>
          <w:szCs w:val="22"/>
        </w:rPr>
        <w:t xml:space="preserve"> resulting in sphincter weakness and incontinence. </w:t>
      </w:r>
      <w:r w:rsidR="00B1018F">
        <w:rPr>
          <w:rFonts w:asciiTheme="minorHAnsi" w:hAnsiTheme="minorHAnsi" w:cstheme="minorHAnsi"/>
          <w:sz w:val="22"/>
          <w:szCs w:val="22"/>
        </w:rPr>
        <w:t>Although MUL has been shown</w:t>
      </w:r>
      <w:r w:rsidR="009C3E95">
        <w:rPr>
          <w:rFonts w:asciiTheme="minorHAnsi" w:hAnsiTheme="minorHAnsi" w:cstheme="minorHAnsi"/>
          <w:sz w:val="22"/>
          <w:szCs w:val="22"/>
        </w:rPr>
        <w:t xml:space="preserve"> to possibly predict </w:t>
      </w:r>
      <w:r w:rsidR="00B1018F">
        <w:rPr>
          <w:rFonts w:asciiTheme="minorHAnsi" w:hAnsiTheme="minorHAnsi" w:cstheme="minorHAnsi"/>
          <w:sz w:val="22"/>
          <w:szCs w:val="22"/>
        </w:rPr>
        <w:t>post-</w:t>
      </w:r>
      <w:r>
        <w:rPr>
          <w:rFonts w:asciiTheme="minorHAnsi" w:hAnsiTheme="minorHAnsi" w:cstheme="minorHAnsi"/>
          <w:sz w:val="22"/>
          <w:szCs w:val="22"/>
        </w:rPr>
        <w:t xml:space="preserve">RP </w:t>
      </w:r>
      <w:r w:rsidR="00B1018F">
        <w:rPr>
          <w:rFonts w:asciiTheme="minorHAnsi" w:hAnsiTheme="minorHAnsi" w:cstheme="minorHAnsi"/>
          <w:sz w:val="22"/>
          <w:szCs w:val="22"/>
        </w:rPr>
        <w:t xml:space="preserve">continence, </w:t>
      </w:r>
      <w:r w:rsidR="0048715A">
        <w:rPr>
          <w:rFonts w:asciiTheme="minorHAnsi" w:hAnsiTheme="minorHAnsi" w:cstheme="minorHAnsi"/>
          <w:sz w:val="22"/>
          <w:szCs w:val="22"/>
        </w:rPr>
        <w:t xml:space="preserve">most studies </w:t>
      </w:r>
      <w:r w:rsidR="000D0375">
        <w:rPr>
          <w:rFonts w:asciiTheme="minorHAnsi" w:hAnsiTheme="minorHAnsi" w:cstheme="minorHAnsi"/>
          <w:sz w:val="22"/>
          <w:szCs w:val="22"/>
        </w:rPr>
        <w:t xml:space="preserve">evaluating MUL </w:t>
      </w:r>
      <w:r>
        <w:rPr>
          <w:rFonts w:asciiTheme="minorHAnsi" w:hAnsiTheme="minorHAnsi" w:cstheme="minorHAnsi"/>
          <w:sz w:val="22"/>
          <w:szCs w:val="22"/>
        </w:rPr>
        <w:t xml:space="preserve">do </w:t>
      </w:r>
      <w:r w:rsidR="0048715A">
        <w:rPr>
          <w:rFonts w:asciiTheme="minorHAnsi" w:hAnsiTheme="minorHAnsi" w:cstheme="minorHAnsi"/>
          <w:sz w:val="22"/>
          <w:szCs w:val="22"/>
        </w:rPr>
        <w:t>not report interrater agreement</w:t>
      </w:r>
      <w:r w:rsidR="0048715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{"citationItems":[{"id":"ITEM-1","itemData":{"DOI":"10.1016/j.eururo.2008.08.057","ISSN":"03022838","PMID":"18801612","abstract":"Background: Limited data on endorectal magnetic resonance imaging (MRI) features and urinary continence after radical prostatectomy (RP) are available. Objective: To assess whether recovery of urinary continence after RP is associated with endorectal MRI findings regarding preoperative and postoperative membranous urethral length (MUL), percent change in MUL, and postoperative urethral and periurethral fibrosis. Design, setting, and participants: Sixty-four patients who received an MRI scan before and after RP for localized prostate cancer were evaluated in a retrospective study at a single institution. Intervention: All patients underwent RP. Measurements: The postoperative scan was performed to detect local recurrence in patients with rising levels of prostate-specific antigen. Urinary continence was graded on a five-point scale. MUL was measured on T2-weighted images. Urethral and periurethral fibrosis was graded from 0 to III based on axial T2-weighted images. Univariate Cox proportional hazards regression was performed to assess variables associated with continence. Results and limitations: Forty-eight patients regained continence following surgery. The median follow-up for patient who were incontinent at their last assessment was 7 mo. The median interval from RP to postoperative endorectal MRI was 10 mo. A longer preoperative or postoperative MUL was associated with superior continence (both p &lt; 0.01). The MUL loss ratio was significantly associated with postoperative continence (p = 0.02). Patients with a high grade of postoperative periurethral fibrosis tended to have worse postoperative continence; nevertheless a statistical correlation was not reached (hazard ratio: 0.64, p = 0.16). This is a retrospective study. Conclusions: Preoperative and postoperative MUL and the MUL loss ratio are related to the recovery time and level of urinary continence after RP. Therefore, preservation of urethral length during surgery is recommended. Periurethral fibrosis might impede the recovery of continence after RP by altering the elasticity of the external sphincter. © 2008 European Association of Urology.","author":[{"dropping-particle":"","family":"Paparel","given":"Philippe","non-dropping-particle":"","parse-names":false,"suffix":""},{"dropping-particle":"","family":"Akin","given":"Oguz","non-dropping-particle":"","parse-names":false,"suffix":""},{"dropping-particle":"","family":"Sandhu","given":"Jaspreet S.","non-dropping-particle":"","parse-names":false,"suffix":""},{"dropping-particle":"","family":"Otero","given":"Javier Romero","non-dropping-particle":"","parse-names":false,"suffix":""},{"dropping-particle":"","family":"Serio","given":"Angel M.","non-dropping-particle":"","parse-names":false,"suffix":""},{"dropping-particle":"","family":"Scardino","given":"Peter T.","non-dropping-particle":"","parse-names":false,"suffix":""},{"dropping-particle":"","family":"Hricak","given":"Hedvig","non-dropping-particle":"","parse-names":false,"suffix":""},{"dropping-particle":"","family":"Guillonneau","given":"Bertrand","non-dropping-particle":"","parse-names":false,"suffix":""}],"container-title":"European Urology","id":"ITEM-1","issue":"3","issued":{"date-parts":[["2009","3"]]},"page":"629-639","publisher":"Eur Urol","title":"Recovery of Urinary Continence after Radical Prostatectomy: Association with Urethral Length and Urethral Fibrosis Measured by Preoperative and Postoperative Endorectal Magnetic Resonance Imaging","type":"article-journal","volume":"55"},"uris":["http://www.mendeley.com/documents/?uuid=e7b187e1-bed4-391f-8bf9-efbca532ee02"]},{"id":"ITEM-2","itemData":{"DOI":"10.1016/S0022-5347(05)64568-5","ISSN":"00225347","abstract":"Purpose: We determined whether membranous urethral length on preoperative magnetic resonance imaging (MRI) is predictive of urinary continence after radical retropubic prostatectomy. Materials and Methods: Membranous urethral length was measured on preoperative endorectal MRI in 211 consecutive patients with newly diagnosed prostate cancer before radical retropubic prostatectomy performed by a single surgeon. Neurovascular bundle resection was done in 60 cases. After surgery the time to stable postoperative continence was recorded in 180 cases and the level of stable continence was graded on a 5-point scale of 1 - complete continence to 5 - complete incontinence. Results: After controlling for age and surgical technique multivariate analysis showed that membranous urethral length was related to time to stable postoperative continence (p = 0.02), such that a longer membranous urethra was associated with a shorter time to stable continence. For example, 1 year after surgery 120 of the 134 patients (89%) with a preoperative membranous urethral length of greater than 12 mm. were completely continent compared with 35 of the 46 (77%) with a preoperative length of 12 mm. or less. Conclusions: On endorectal MRI before radical prostatectomy a longer membranous urethra is associated with significantly more rapid return of urinary continence after surgery.","author":[{"dropping-particle":"V.","family":"Coakley","given":"Fergus","non-dropping-particle":"","parse-names":false,"suffix":""},{"dropping-particle":"","family":"Eberhardt","given":"Steven","non-dropping-particle":"","parse-names":false,"suffix":""},{"dropping-particle":"","family":"Kattan","given":"Michael W.","non-dropping-particle":"","parse-names":false,"suffix":""},{"dropping-particle":"","family":"Wei","given":"David C.","non-dropping-particle":"","parse-names":false,"suffix":""},{"dropping-particle":"","family":"Scardino","given":"Peter T.","non-dropping-particle":"","parse-names":false,"suffix":""},{"dropping-particle":"","family":"Hricak","given":"Hedvig","non-dropping-particle":"","parse-names":false,"suffix":""}],"container-title":"Journal of Urology","id":"ITEM-2","issued":{"date-parts":[["2002"]]},"title":"Urinary continence after radical retropubic prostatectomy: Relationship with membranous urethral length on preoperative endorectal magnetic resonance","type":"article-journal"},"uris":["http://www.mendeley.com/documents/?uuid=30f6907b-6540-4256-ab95-455266614af2"]},{"id":"ITEM-3","itemData":{"DOI":"10.1016/j.euf.2018.04.021","ISSN":"24054569","abstract":"Background: The applicability of the sphincter complex integral theory to robotic-assisted radical prostatectomy (RARP) is unclear, with little known about the long-term effect of sphincter complex integrity on continence. Objective: To determine whether the preoperative anatomical and functional features of the sphincter complex and the degree of nerve-sparing affect long-term continence after RARP. Design, setting, and participants: Prospective study of 529 patients who underwent RARP at a single tertiary center. Outcome measurements and statistical analysis: Anatomical factors, including membranous urethral length (MUL) and pelvic diaphragm length (PDL), were assessed using sagittal views of preoperative magnetic resonance imaging. MUL was defined as the distance from the posterior prostate apex to the urethra level at the penile bulb, and PDL was defined as the length of the urethra that met the planes created by the pelvic floor muscles. Functional parameters including maximum urethral closure pressure (MUCP) and functional urethral length were evaluated using preoperative measurements of the urethral pressure profiles. The degree of nerve-sparing was stratified as bilateral, unilateral, or none. Continence (pad-free status) was assessed according to anatomical and functional factors and nerve-sparing. We used binary logistic regression to assess factors predicting continence return 12 mo after RARP. Results and limitations: Continence return rates 1, 3, 6, and 12 mo after RARP were 39.7%, 66.0%, 80.2%, and 87.0%, respectively. Continence return rates at 12 mo differed significantly in patients with MUL ≥11.7 mm (91.9%) and &lt;11.7 mm (79.9%), PDL ≥9.9 mm (96.7%) and &lt;9.9 mm (74.5%), and MUCP ≥66 cmH2O (89.7%) and &lt;66 cmH2O (79.4%). The continence return rate was significantly higher in patients with bilateral (93.0%) than in patients with unilateral (78.1%) or no (76.7%) nerve-sparing. Multivariate analysis showed that PDL (odds ratio [OR] = 2.187 per mm), MUCP (OR = 1.037 per cmH2O), and bilateral nerve-sparing (OR = 3.671) were independently associated with continence return 12 mo after RALP. Conclusions: The anatomical length and static pressure of the sphincter complex affected continence after RARP. Bilateral nerve-sparing was independently associated with long-term continence. Patient summary: Predisposing length and static pressure of the urinary sphincter affect continence after robotic-assisted radical prostatectomy. Nerve bundle preservati…","author":[{"dropping-particle":"","family":"Kim","given":"Myong","non-dropping-particle":"","parse-names":false,"suffix":""},{"dropping-particle":"","family":"Park","given":"Myungchan","non-dropping-particle":"","parse-names":false,"suffix":""},{"dropping-particle":"","family":"Pak","given":"Sahyun","non-dropping-particle":"","parse-names":false,"suffix":""},{"dropping-particle":"","family":"Choi","given":"Seung Kwon","non-dropping-particle":"","parse-names":false,"suffix":""},{"dropping-particle":"","family":"Shim","given":"Myungsun","non-dropping-particle":"","parse-names":false,"suffix":""},{"dropping-particle":"","family":"Song","given":"Cheryn","non-dropping-particle":"","parse-names":false,"suffix":""},{"dropping-particle":"","family":"Ahn","given":"Hanjong","non-dropping-particle":"","parse-names":false,"suffix":""}],"container-title":"European Urology Focus","id":"ITEM-3","issue":"5","issued":{"date-parts":[["2019","9","1"]]},"page":"823-830","publisher":"Elsevier B.V.","title":"Integrity of the Urethral Sphincter Complex, Nerve-sparing, and Long-term Continence Status after Robotic-assisted Radical Prostatectomy","type":"article-journal","volume":"5"},"uris":["http://www.mendeley.com/documents/?uuid=ece30f65-9af9-3b0a-bf5c-87976c9bcb03"]},{"id":"ITEM-4","itemData":{"DOI":"10.1007/s11255-015-1019-8","ISSN":"15732584","abstract":"Purpose: Prostate cancer can be treated by radical prostatectomy (RP) and provoke a troublesome side effect: urinary incontinence (UI). We propose a verification of the usefulness of MRI and an identification of which structures are involved in UI after RP. Methods: Between September 2002 and December 2011, 550 patients underwent RP. We performed MRI to evaluate extraprostatic disease before surgery. To evaluate patient status, we measured the following structures: length (LP), width (WP), height (HP) and volume (PV) of the prostate, membranous urethral length (MUL), urethral wall thickness (UWT), levator ani muscle (LAM) and obturator internus muscle (OIM) thickness, ratio of levator ani muscle/prostate volume (LAM/PV), volume of the urethra (VU). UI was defined according to ICS definition as the complaint of any involuntary leakage of urine and evaluated 1 year after surgery. Analyses were performed by mean comparisons, univariate and multivariate logistic regression with a 1000-resample bootstrapping. Results: Means of measurements were: LP 4.46 cm, WP 5.15 cm, HP 3.9 cm, PV 49.3 cc; LAM 0.51 cm, OIM 1.46 cm; MUL 1.43 cm, UWT 1.38 cm; and LAM/PV 0.013 cm/cc, VU 2.33 cc. One hundred and twenty-two (22.2 %) patients complained of urine leakage. Univariate obtained differences in PV, OIM, MUL, and UWT. After adjusting by confounders, multivariate analysis showed: MUL: [OR 0.134; CI 95 % (0.022–0.493); P 0.006]; PV: [OR 1.016; CI 95 % (1.004–1.029); P 0.005]; UWT: [OR 6.03; CI 95 % (1.068–44.1); P 0.033]. Conclusions: MRI is a useful tool to predict UI after RP. The MUL and PV are well-identified structures that are involved in UI. Our study shows that UWT also influences UI.","author":[{"dropping-particle":"","family":"Tienza","given":"Antonio","non-dropping-particle":"","parse-names":false,"suffix":""},{"dropping-particle":"","family":"Hevia","given":"Mateo","non-dropping-particle":"","parse-names":false,"suffix":""},{"dropping-particle":"","family":"Benito","given":"Alberto","non-dropping-particle":"","parse-names":false,"suffix":""},{"dropping-particle":"","family":"Pascual","given":"Juan I.","non-dropping-particle":"","parse-names":false,"suffix":""},{"dropping-particle":"","family":"Zudaire","given":"Juan Javier","non-dropping-particle":"","parse-names":false,"suffix":""},{"dropping-particle":"","family":"Robles","given":"Jose Enrique","non-dropping-particle":"","parse-names":false,"suffix":""}],"container-title":"International Urology and Nephrology","id":"ITEM-4","issue":"8","issued":{"date-parts":[["2015","8","31"]]},"page":"1343-1349","publisher":"Kluwer Academic Publishers","title":"MRI factors to predict urinary incontinence after retropubic/laparoscopic radical prostatectomy","type":"article-journal","volume":"47"},"uris":["http://www.mendeley.com/documents/?uuid=67c1c79f-928a-3c85-9bc1-9b9afe5d55e9"]},{"id":"ITEM-5","itemData":{"DOI":"10.1007/s00345-012-0857-6","ISSN":"07244983","abstract":"Purpose: The dorsal vascular complex (DVC) of the prostate is considered to be a functional structure having smooth muscles that are connected to the detrusor apron. We conducted this study to provide basic information regarding DVC size as measured by magnetic resonance imaging and to investigate whether DVC size is related to the recovery of continence following radical prostatectomy (RP). Methods: We prospectively collected data that included the results of prostate MRI and continence recovery of patients who underwent RP. From April 2006 through February 2010, 862 patients underwent RP. Of these, a total of 731 cases were included in the final analysis. The height and width of the DVC were measured in the T1-weighted axial image at the level that showed the puboprostatic ligament. Results: The continence rate of the total patient cohort at 12 months was 96. 7 %. The mean width, height and area of the DVC were 2. 0 ± 0. 4 cm, 1. 2 ± 0. 3 cm and 1. 8 ± 0. 6 cm2, respectively, and there was no linear correlation between continence recovery and these parameters. However, the patients who had a moderately large-sized DVC (2. 3-2. 8 cm2) regained their continence significantly sooner (mean duration = 2. 1 months) than those with small (3. 7 months, p = 0. 002) or extremely large DVC (4. 0 months, p = 0. 006). In a multivariate analysis, DVC size, age, transfusion and the length of membranous urethra were significant predictors of continence recovery. Conclusion: The patients who had a moderately large DVC regained continence faster following RP. © 2012 Springer-Verlag.","author":[{"dropping-particle":"","family":"Jeong","given":"Chang Wook","non-dropping-particle":"","parse-names":false,"suffix":""},{"dropping-particle":"","family":"Oh","given":"Jong Jin","non-dropping-particle":"","parse-names":false,"suffix":""},{"dropping-particle":"","family":"Jeong","given":"Seong Jin","non-dropping-particle":"","parse-names":false,"suffix":""},{"dropping-particle":"","family":"Hong","given":"Sung Kyu","non-dropping-particle":"","parse-names":false,"suffix":""},{"dropping-particle":"","family":"Byun","given":"Seok Soo","non-dropping-particle":"","parse-names":false,"suffix":""},{"dropping-particle":"Il","family":"Hwang","given":"Sung","non-dropping-particle":"","parse-names":false,"suffix":""},{"dropping-particle":"","family":"Lee","given":"Hak Jong","non-dropping-particle":"","parse-names":false,"suffix":""},{"dropping-particle":"","family":"Lee","given":"Sang Eun","non-dropping-particle":"","parse-names":false,"suffix":""}],"container-title":"World Journal of Urology","id":"ITEM-5","issue":"2","issued":{"date-parts":[["2013"]]},"page":"383-388","publisher":"World J Urol","title":"Effect of dorsal vascular complex size on the recovery of continence after radical prostatectomy","type":"article-journal","volume":"31"},"uris":["http://www.mendeley.com/documents/?uuid=0aa0a1f9-09e0-37f4-9fee-3a5003d0e17f"]},{"id":"ITEM-6","itemData":{"DOI":"10.1089/end.2010.0692","ISSN":"08927790","abstract":"Background and Purpose: Membranous urethral length is one of several factors that can influence return of continence after radical prostatectomy. Using our robot-assisted laparoscopic prostatectomy (RALP) database, we assessed which preoperative (with endorectal coil MRI [eMRI]) and intraoperative anatomic measurements correlate with return to urinary continence (no pads) and continence quality of life (CQOL) as determined by the International Consultation on Incontinence Questionnaire (ICIQ) score. Patients and Methods: A total of 75 patients who underwent RALP and eMRI by a single surgeon were analyzed. To emulate the distal continence zone intraoperatively, stretched urethral length (distance from the perineal membrane to the prostate apex on stretch) and cut urethral length (urethral stump length) were individually measured and recorded after apical dissection. Preoperative International Prostate Symptom Scores (IPSS) were recorded. Univariate and multivariate Cox regression analysis were performed to determine the association between MRI-measured and intraoperative urethral lengths and return to continence as well as CQOL. Results: None of the urethral measurements as determined by eMRI correlated with continence or ICIQ scores. On multivariate analysis, only membranous urethral length on eMRI approached significance with respect to ICIQ (P=0.07). On multivariate analysis controlling for preoperative age, body mass index, IPSS score, and gland size, both stretched and cut urethral length correlated with decreased time to continence (P=0.03 and P=0.04 respectively). Conclusion: Longer stretched and cut urethral lengths appear to correlate with faster return to a pad-free state. Attention to maximal preservation of the distal continence mechanism is important for optimal continence outcomes after RALP. © Copyright 2011, Mary Ann Liebert, Inc.","author":[{"dropping-particle":"","family":"Hakimi","given":"A. Ari","non-dropping-particle":"","parse-names":false,"suffix":""},{"dropping-particle":"","family":"Faleck","given":"David M.","non-dropping-particle":"","parse-names":false,"suffix":""},{"dropping-particle":"","family":"Agalliu","given":"Ilir","non-dropping-particle":"","parse-names":false,"suffix":""},{"dropping-particle":"","family":"Rozenblit","given":"Alla M.","non-dropping-particle":"","parse-names":false,"suffix":""},{"dropping-particle":"","family":"Chernyak","given":"Victoria","non-dropping-particle":"","parse-names":false,"suffix":""},{"dropping-particle":"","family":"Ghavamian","given":"Reza","non-dropping-particle":"","parse-names":false,"suffix":""}],"container-title":"Journal of Endourology","id":"ITEM-6","issue":"6","issued":{"date-parts":[["2011","6","1"]]},"page":"1025-1030","publisher":"J Endourol","title":"Preoperative and intraoperative measurements of urethral length as predictors of continence after robot-assisted radical prostatectomy","type":"article-journal","volume":"25"},"uris":["http://www.mendeley.com/documents/?uuid=19fd137b-fc0a-3fb3-a5d4-37579bbcf602"]}],"mendeley":{"formattedCitation":"&lt;sup&gt;11,14–18&lt;/sup&gt;","plainTextFormattedCitation":"11,14–18","previouslyFormattedCitation":"&lt;sup&gt;11,14–18&lt;/sup&gt;"},"properties":{"noteIndex":0},"schema":"https://github.com/citation-style-language/schema/raw/master/csl-citation.json"}</w:instrText>
      </w:r>
      <w:r w:rsidR="0048715A">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11,14–18</w:t>
      </w:r>
      <w:r w:rsidR="0048715A">
        <w:rPr>
          <w:rFonts w:asciiTheme="minorHAnsi" w:hAnsiTheme="minorHAnsi" w:cstheme="minorHAnsi"/>
          <w:sz w:val="22"/>
          <w:szCs w:val="22"/>
        </w:rPr>
        <w:fldChar w:fldCharType="end"/>
      </w:r>
      <w:r w:rsidR="0048715A">
        <w:rPr>
          <w:rFonts w:asciiTheme="minorHAnsi" w:hAnsiTheme="minorHAnsi" w:cstheme="minorHAnsi"/>
          <w:sz w:val="22"/>
          <w:szCs w:val="22"/>
        </w:rPr>
        <w:t xml:space="preserve">. </w:t>
      </w:r>
      <w:r w:rsidR="007004DA">
        <w:rPr>
          <w:rFonts w:asciiTheme="minorHAnsi" w:hAnsiTheme="minorHAnsi" w:cstheme="minorHAnsi"/>
          <w:sz w:val="22"/>
          <w:szCs w:val="22"/>
        </w:rPr>
        <w:t>In the few s</w:t>
      </w:r>
      <w:r w:rsidR="0048715A">
        <w:rPr>
          <w:rFonts w:asciiTheme="minorHAnsi" w:hAnsiTheme="minorHAnsi" w:cstheme="minorHAnsi"/>
          <w:sz w:val="22"/>
          <w:szCs w:val="22"/>
        </w:rPr>
        <w:t xml:space="preserve">tudies </w:t>
      </w:r>
      <w:r w:rsidR="005E2F6A">
        <w:rPr>
          <w:rFonts w:asciiTheme="minorHAnsi" w:hAnsiTheme="minorHAnsi" w:cstheme="minorHAnsi"/>
          <w:sz w:val="22"/>
          <w:szCs w:val="22"/>
        </w:rPr>
        <w:t xml:space="preserve">that </w:t>
      </w:r>
      <w:r>
        <w:rPr>
          <w:rFonts w:asciiTheme="minorHAnsi" w:hAnsiTheme="minorHAnsi" w:cstheme="minorHAnsi"/>
          <w:sz w:val="22"/>
          <w:szCs w:val="22"/>
        </w:rPr>
        <w:t xml:space="preserve">have </w:t>
      </w:r>
      <w:r w:rsidR="0048715A">
        <w:rPr>
          <w:rFonts w:asciiTheme="minorHAnsi" w:hAnsiTheme="minorHAnsi" w:cstheme="minorHAnsi"/>
          <w:sz w:val="22"/>
          <w:szCs w:val="22"/>
        </w:rPr>
        <w:t>report</w:t>
      </w:r>
      <w:r w:rsidR="00E204BF">
        <w:rPr>
          <w:rFonts w:asciiTheme="minorHAnsi" w:hAnsiTheme="minorHAnsi" w:cstheme="minorHAnsi"/>
          <w:sz w:val="22"/>
          <w:szCs w:val="22"/>
        </w:rPr>
        <w:t>ed</w:t>
      </w:r>
      <w:r w:rsidR="007004DA">
        <w:rPr>
          <w:rFonts w:asciiTheme="minorHAnsi" w:hAnsiTheme="minorHAnsi" w:cstheme="minorHAnsi"/>
          <w:sz w:val="22"/>
          <w:szCs w:val="22"/>
        </w:rPr>
        <w:t xml:space="preserve"> agreement, there was</w:t>
      </w:r>
      <w:r w:rsidR="0048715A">
        <w:rPr>
          <w:rFonts w:asciiTheme="minorHAnsi" w:hAnsiTheme="minorHAnsi" w:cstheme="minorHAnsi"/>
          <w:sz w:val="22"/>
          <w:szCs w:val="22"/>
        </w:rPr>
        <w:t xml:space="preserve"> </w:t>
      </w:r>
      <w:r w:rsidR="000D0375">
        <w:rPr>
          <w:rFonts w:asciiTheme="minorHAnsi" w:hAnsiTheme="minorHAnsi" w:cstheme="minorHAnsi"/>
          <w:sz w:val="22"/>
          <w:szCs w:val="22"/>
        </w:rPr>
        <w:t>p</w:t>
      </w:r>
      <w:r w:rsidR="0048715A">
        <w:rPr>
          <w:rFonts w:asciiTheme="minorHAnsi" w:hAnsiTheme="minorHAnsi" w:cstheme="minorHAnsi"/>
          <w:sz w:val="22"/>
          <w:szCs w:val="22"/>
        </w:rPr>
        <w:t xml:space="preserve">oor to fair </w:t>
      </w:r>
      <w:r w:rsidR="000D0375">
        <w:rPr>
          <w:rFonts w:asciiTheme="minorHAnsi" w:hAnsiTheme="minorHAnsi" w:cstheme="minorHAnsi"/>
          <w:sz w:val="22"/>
          <w:szCs w:val="22"/>
        </w:rPr>
        <w:t xml:space="preserve">agreement </w:t>
      </w:r>
      <w:r w:rsidR="0048715A">
        <w:rPr>
          <w:rFonts w:asciiTheme="minorHAnsi" w:hAnsiTheme="minorHAnsi" w:cstheme="minorHAnsi"/>
          <w:sz w:val="22"/>
          <w:szCs w:val="22"/>
        </w:rPr>
        <w:t>between in-training radiologists and supervising radiologists</w:t>
      </w:r>
      <w:r w:rsidR="0048715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{"citationItems":[{"id":"ITEM-1","itemData":{"DOI":"10.1007/s00261-018-1481-8","ISSN":"23660058","PMID":"29470623","abstract":"Purpose: To evaluate a 12-month long-distance prostate MRI quality assurance (QA) program. Methods: The need for IRB approval was waived for this prospective longitudinal QA effort. One academic institution experienced with prostate MRI [~ 1000 examinations/year (Site 2)] partnered with a private institution 240 miles away that was starting a new prostate MRI program (Site 1). Site 1 performed all examinations (N = 249). Four radiologists at Site 1 created finalized reports, then sent images and reports to Site 2 for review on a rolling basis. One radiologist at Site 2 reviewed findings and exam quality and discussed results by phone (~ 2–10 minutes/MRI). In months 1–6 all examinations were reviewed. In months 7–12 only PI-RADS ≤ 2 and ‘difficult’ cases were reviewed. Repeatability was assessed with intra-class correlation (ICC). ‘Clinically significant cancer’ was Gleason ≥ 7. Results: Image quality significantly (p &lt; 0.001) improved after the first three months. Inter-rater agreement also improved in months 3–4 [ICC: 0.849 (95% CI 0.744–0.913)] and 5–6 [ICC: 0.768 (95% CI 0.619–0.864)] compared to months 1–2 [ICC: 0.621 (95% CI 0.436–0.756)]. PI-RADS ≤ 2 examinations were reclassified PI-RADS ≥ 3 in 19% (30/162); of these, 23 had post-MRI histology and 57% (13/23) had clinically significant cancer (5.2% of 249). False-negative examinations [N = 18 (PI-RADS ≤ 2 and Gleason ≥ 7)] were more common at Site 1 during months 1–6 [9% (14/160) vs. 4% (4/89)]. Positive predictive values for PI-RADS ≥ 3 were similar. Conclusion: Remote quality assurance of prostate MRI is feasible and useful, enabling new programs to gain durable skills with minimal risk to patients.","author":[{"dropping-particle":"","family":"Curci","given":"Nicole E.","non-dropping-particle":"","parse-names":false,"suffix":""},{"dropping-particle":"","family":"Gartland","given":"Patrick","non-dropping-particle":"","parse-names":false,"suffix":""},{"dropping-particle":"","family":"Shankar","given":"Prasad R.","non-dropping-particle":"","parse-names":false,"suffix":""},{"dropping-particle":"","family":"Montgomery","given":"Jeffrey S.","non-dropping-particle":"","parse-names":false,"suffix":""},{"dropping-particle":"","family":"Miller","given":"David C.","non-dropping-particle":"","parse-names":false,"suffix":""},{"dropping-particle":"","family":"George","given":"Arvin K.","non-dropping-particle":"","parse-names":false,"suffix":""},{"dropping-particle":"","family":"Davenport","given":"Matthew S.","non-dropping-particle":"","parse-names":false,"suffix":""}],"container-title":"Abdominal Radiology","id":"ITEM-1","issue":"9","issued":{"date-parts":[["2018","9","1"]]},"page":"2505-2512","publisher":"Springer New York LLC","title":"Long-distance longitudinal prostate MRI quality assurance: from startup to 12 months","type":"article-journal","volume":"43"},"uris":["http://www.mendeley.com/documents/?uuid=0d4dd7d5-7f97-3b94-9a55-986197674b9f"]}],"mendeley":{"formattedCitation":"&lt;sup&gt;24&lt;/sup&gt;","plainTextFormattedCitation":"24","previouslyFormattedCitation":"&lt;sup&gt;24&lt;/sup&gt;"},"properties":{"noteIndex":0},"schema":"https://github.com/citation-style-language/schema/raw/master/csl-citation.json"}</w:instrText>
      </w:r>
      <w:r w:rsidR="0048715A">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24</w:t>
      </w:r>
      <w:r w:rsidR="0048715A">
        <w:rPr>
          <w:rFonts w:asciiTheme="minorHAnsi" w:hAnsiTheme="minorHAnsi" w:cstheme="minorHAnsi"/>
          <w:sz w:val="22"/>
          <w:szCs w:val="22"/>
        </w:rPr>
        <w:fldChar w:fldCharType="end"/>
      </w:r>
      <w:r w:rsidR="000D0375">
        <w:rPr>
          <w:rFonts w:asciiTheme="minorHAnsi" w:hAnsiTheme="minorHAnsi" w:cstheme="minorHAnsi"/>
          <w:sz w:val="22"/>
          <w:szCs w:val="22"/>
        </w:rPr>
        <w:t>,</w:t>
      </w:r>
      <w:r w:rsidR="0048715A">
        <w:rPr>
          <w:rFonts w:asciiTheme="minorHAnsi" w:hAnsiTheme="minorHAnsi" w:cstheme="minorHAnsi"/>
          <w:sz w:val="22"/>
          <w:szCs w:val="22"/>
        </w:rPr>
        <w:t xml:space="preserve"> </w:t>
      </w:r>
      <w:r w:rsidR="000D0375">
        <w:rPr>
          <w:rFonts w:asciiTheme="minorHAnsi" w:hAnsiTheme="minorHAnsi" w:cstheme="minorHAnsi"/>
          <w:sz w:val="22"/>
          <w:szCs w:val="22"/>
        </w:rPr>
        <w:t>excellent agreement</w:t>
      </w:r>
      <w:r w:rsidR="0048715A">
        <w:rPr>
          <w:rFonts w:asciiTheme="minorHAnsi" w:hAnsiTheme="minorHAnsi" w:cstheme="minorHAnsi"/>
          <w:sz w:val="22"/>
          <w:szCs w:val="22"/>
        </w:rPr>
        <w:t xml:space="preserve"> among</w:t>
      </w:r>
      <w:r w:rsidR="00F631BE">
        <w:rPr>
          <w:rFonts w:asciiTheme="minorHAnsi" w:hAnsiTheme="minorHAnsi" w:cstheme="minorHAnsi"/>
          <w:sz w:val="22"/>
          <w:szCs w:val="22"/>
        </w:rPr>
        <w:t xml:space="preserve"> specialized genitourinary radiologists</w:t>
      </w:r>
      <w:r w:rsidR="00F631BE">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{"citationItems":[{"id":"ITEM-1","itemData":{"DOI":"10.1016/j.ejrad.2019.108668","ISSN":"18727727","abstract":"Purpose: To evaluate standardized measurements of the membranous urethra length (MUL), the membranous urethra angle (MUA) and the prostate's apex type (AT) among further clinical parameters as potential preoperative risk factors of urinary incontinence (UI) after radical prostatectomy (RP). Method: Our institutional review board approved this retrospective single center study. 316 patients (mean age 65 years) underwent MRI at 3 T prior to prostatectomy. MUL, MUA and AT were measured according to a standardized approach on T2w- sagittal sequences. In a second reading the inter-rater agreement for the MUL was determined. Image findings and clinical data were correlated by logistic regression to UI as evaluated by a standardized questionnaire determining the number of necessary hygiene pads (HP) at three different time points with corresponding patient subsets (one week, six months and 12 months after RP). Results: There was a significant impact of the MUL on postoperative UI with odds ratios (OR) of 0.8 [p &lt; 0.001; confidence interval (CI) 0.73-0.91], 0.8 (p = 0.01; CI 0.68-0.94) and 0.7 (p &lt; 0.01; CI 0.56-0.89) at the respective time points. No significant impact was demonstrated regarding the MUA and AT. Of all clinical parameters there was significant impact of the patients’ age and the degree of nerve-sparing surgery. Inter-rater agreement with respect to the MUL was good with an intraclass correlation coefficient of 0.82. The mean deviation of raters measuring the MUL was 1.2 mm. Conclusions: A shorter MUL in mpMRI should be considered as a risk factor of UI after RP. Standardized measurements enabling good inter-rater agreement should be considered for routine assessments to facilitate prospective classifications.","author":[{"dropping-particle":"","family":"Sauer","given":"Markus","non-dropping-particle":"","parse-names":false,"suffix":""},{"dropping-particle":"","family":"Tennstedt","given":"Pierre","non-dropping-particle":"","parse-names":false,"suffix":""},{"dropping-particle":"","family":"Berliner","given":"Christoph","non-dropping-particle":"","parse-names":false,"suffix":""},{"dropping-particle":"","family":"Well","given":"Lennart","non-dropping-particle":"","parse-names":false,"suffix":""},{"dropping-particle":"","family":"Huland","given":"Hartwig","non-dropping-particle":"","parse-names":false,"suffix":""},{"dropping-particle":"","family":"Budäus","given":"Lars","non-dropping-particle":"","parse-names":false,"suffix":""},{"dropping-particle":"","family":"Adam","given":"Gerhard","non-dropping-particle":"","parse-names":false,"suffix":""},{"dropping-particle":"","family":"Beyersdorff","given":"Dirk","non-dropping-particle":"","parse-names":false,"suffix":""}],"container-title":"European Journal of Radiology","id":"ITEM-1","issued":{"date-parts":[["2019"]]},"title":"Predictors of short and long term urinary incontinence after radical prostatectomy in prostate MRI: Significance and reliability of standardized measurements","type":"article-journal"},"uris":["http://www.mendeley.com/documents/?uuid=e05d1514-c756-44cf-84bb-d211c6f09f6f"]}],"mendeley":{"formattedCitation":"&lt;sup&gt;25&lt;/sup&gt;","plainTextFormattedCitation":"25","previouslyFormattedCitation":"&lt;sup&gt;25&lt;/sup&gt;"},"properties":{"noteIndex":0},"schema":"https://github.com/citation-style-language/schema/raw/master/csl-citation.json"}</w:instrText>
      </w:r>
      <w:r w:rsidR="00F631BE">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25</w:t>
      </w:r>
      <w:r w:rsidR="00F631BE">
        <w:rPr>
          <w:rFonts w:asciiTheme="minorHAnsi" w:hAnsiTheme="minorHAnsi" w:cstheme="minorHAnsi"/>
          <w:sz w:val="22"/>
          <w:szCs w:val="22"/>
        </w:rPr>
        <w:fldChar w:fldCharType="end"/>
      </w:r>
      <w:r w:rsidR="000D0375">
        <w:rPr>
          <w:rFonts w:asciiTheme="minorHAnsi" w:hAnsiTheme="minorHAnsi" w:cstheme="minorHAnsi"/>
          <w:sz w:val="22"/>
          <w:szCs w:val="22"/>
        </w:rPr>
        <w:t>, and</w:t>
      </w:r>
      <w:r w:rsidR="00F631BE">
        <w:rPr>
          <w:rFonts w:asciiTheme="minorHAnsi" w:hAnsiTheme="minorHAnsi" w:cstheme="minorHAnsi"/>
          <w:sz w:val="22"/>
          <w:szCs w:val="22"/>
        </w:rPr>
        <w:t xml:space="preserve"> moderate agreement among trained experts</w:t>
      </w:r>
      <w:r w:rsidR="00F631BE">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F631BE">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F631BE">
        <w:rPr>
          <w:rFonts w:asciiTheme="minorHAnsi" w:hAnsiTheme="minorHAnsi" w:cstheme="minorHAnsi"/>
          <w:sz w:val="22"/>
          <w:szCs w:val="22"/>
        </w:rPr>
        <w:fldChar w:fldCharType="end"/>
      </w:r>
      <w:r w:rsidR="00F631BE">
        <w:rPr>
          <w:rFonts w:asciiTheme="minorHAnsi" w:hAnsiTheme="minorHAnsi" w:cstheme="minorHAnsi"/>
          <w:sz w:val="22"/>
          <w:szCs w:val="22"/>
        </w:rPr>
        <w:t>.</w:t>
      </w:r>
      <w:r w:rsidR="007004DA">
        <w:rPr>
          <w:rFonts w:asciiTheme="minorHAnsi" w:hAnsiTheme="minorHAnsi" w:cstheme="minorHAnsi"/>
          <w:sz w:val="22"/>
          <w:szCs w:val="22"/>
        </w:rPr>
        <w:t xml:space="preserve"> </w:t>
      </w:r>
      <w:r w:rsidR="009C3E95">
        <w:rPr>
          <w:rFonts w:asciiTheme="minorHAnsi" w:hAnsiTheme="minorHAnsi" w:cstheme="minorHAnsi"/>
          <w:sz w:val="22"/>
          <w:szCs w:val="22"/>
        </w:rPr>
        <w:t>I</w:t>
      </w:r>
      <w:r w:rsidR="007004DA">
        <w:rPr>
          <w:rFonts w:asciiTheme="minorHAnsi" w:hAnsiTheme="minorHAnsi" w:cstheme="minorHAnsi"/>
          <w:sz w:val="22"/>
          <w:szCs w:val="22"/>
        </w:rPr>
        <w:t xml:space="preserve">nterrater agreement is important </w:t>
      </w:r>
      <w:r w:rsidR="009C3E95">
        <w:rPr>
          <w:rFonts w:asciiTheme="minorHAnsi" w:hAnsiTheme="minorHAnsi" w:cstheme="minorHAnsi"/>
          <w:sz w:val="22"/>
          <w:szCs w:val="22"/>
        </w:rPr>
        <w:t xml:space="preserve">because </w:t>
      </w:r>
      <w:r w:rsidR="007004DA">
        <w:rPr>
          <w:rFonts w:asciiTheme="minorHAnsi" w:hAnsiTheme="minorHAnsi" w:cstheme="minorHAnsi"/>
          <w:sz w:val="22"/>
          <w:szCs w:val="22"/>
        </w:rPr>
        <w:t xml:space="preserve">poor agreement </w:t>
      </w:r>
      <w:r w:rsidR="007C2A5A">
        <w:rPr>
          <w:rFonts w:asciiTheme="minorHAnsi" w:hAnsiTheme="minorHAnsi" w:cstheme="minorHAnsi"/>
          <w:sz w:val="22"/>
          <w:szCs w:val="22"/>
        </w:rPr>
        <w:t xml:space="preserve">would make </w:t>
      </w:r>
      <w:r w:rsidR="009C3E95">
        <w:rPr>
          <w:rFonts w:asciiTheme="minorHAnsi" w:hAnsiTheme="minorHAnsi" w:cstheme="minorHAnsi"/>
          <w:sz w:val="22"/>
          <w:szCs w:val="22"/>
        </w:rPr>
        <w:t>it</w:t>
      </w:r>
      <w:r w:rsidR="007C2A5A">
        <w:rPr>
          <w:rFonts w:asciiTheme="minorHAnsi" w:hAnsiTheme="minorHAnsi" w:cstheme="minorHAnsi"/>
          <w:sz w:val="22"/>
          <w:szCs w:val="22"/>
        </w:rPr>
        <w:t xml:space="preserve"> less valuable for continence prediction. </w:t>
      </w:r>
      <w:r w:rsidR="00647648">
        <w:rPr>
          <w:rFonts w:asciiTheme="minorHAnsi" w:hAnsiTheme="minorHAnsi" w:cstheme="minorHAnsi"/>
          <w:sz w:val="22"/>
          <w:szCs w:val="22"/>
        </w:rPr>
        <w:t>A comprehensive assessment of MUL in conjunction with clinical parameters and other potential MRI-based anatomic measures of continence prediction is needed to determine the usefulness of MUL in routine clinical care.</w:t>
      </w:r>
    </w:p>
    <w:p w14:paraId="2F7D429B" w14:textId="67C29669" w:rsidR="00F631BE" w:rsidRDefault="009C3E95" w:rsidP="00C71255">
      <w:pPr>
        <w:spacing w:line="480" w:lineRule="auto"/>
        <w:ind w:firstLine="720"/>
        <w:rPr>
          <w:rFonts w:asciiTheme="minorHAnsi" w:hAnsiTheme="minorHAnsi" w:cstheme="minorHAnsi"/>
          <w:sz w:val="22"/>
          <w:szCs w:val="22"/>
        </w:rPr>
      </w:pPr>
      <w:r>
        <w:rPr>
          <w:rFonts w:asciiTheme="minorHAnsi" w:hAnsiTheme="minorHAnsi" w:cstheme="minorHAnsi"/>
          <w:sz w:val="22"/>
          <w:szCs w:val="22"/>
        </w:rPr>
        <w:lastRenderedPageBreak/>
        <w:t>Our purpose was</w:t>
      </w:r>
      <w:r w:rsidR="00AC3391" w:rsidRPr="001F5CEC">
        <w:rPr>
          <w:rFonts w:asciiTheme="minorHAnsi" w:hAnsiTheme="minorHAnsi" w:cstheme="minorHAnsi"/>
          <w:sz w:val="22"/>
          <w:szCs w:val="22"/>
        </w:rPr>
        <w:t xml:space="preserve"> to evaluate the </w:t>
      </w:r>
      <w:r w:rsidR="00C71255">
        <w:rPr>
          <w:rFonts w:asciiTheme="minorHAnsi" w:hAnsiTheme="minorHAnsi" w:cstheme="minorHAnsi"/>
          <w:sz w:val="22"/>
          <w:szCs w:val="22"/>
        </w:rPr>
        <w:t>inclusion of MRI</w:t>
      </w:r>
      <w:r w:rsidR="00FA0273">
        <w:rPr>
          <w:rFonts w:asciiTheme="minorHAnsi" w:hAnsiTheme="minorHAnsi" w:cstheme="minorHAnsi"/>
          <w:sz w:val="22"/>
          <w:szCs w:val="22"/>
        </w:rPr>
        <w:t>-based anatomic measures of post-RP continence prediction</w:t>
      </w:r>
      <w:r w:rsidR="00C71255">
        <w:rPr>
          <w:rFonts w:asciiTheme="minorHAnsi" w:hAnsiTheme="minorHAnsi" w:cstheme="minorHAnsi"/>
          <w:sz w:val="22"/>
          <w:szCs w:val="22"/>
        </w:rPr>
        <w:t xml:space="preserve"> </w:t>
      </w:r>
      <w:r w:rsidR="00923D86">
        <w:rPr>
          <w:rFonts w:asciiTheme="minorHAnsi" w:hAnsiTheme="minorHAnsi" w:cstheme="minorHAnsi"/>
          <w:sz w:val="22"/>
          <w:szCs w:val="22"/>
        </w:rPr>
        <w:t>(</w:t>
      </w:r>
      <w:r w:rsidR="00961361">
        <w:rPr>
          <w:rFonts w:asciiTheme="minorHAnsi" w:hAnsiTheme="minorHAnsi" w:cstheme="minorHAnsi"/>
          <w:sz w:val="22"/>
          <w:szCs w:val="22"/>
        </w:rPr>
        <w:t xml:space="preserve">coronal MUL, inner levator distance, outer levator distance, </w:t>
      </w:r>
      <w:proofErr w:type="spellStart"/>
      <w:r w:rsidR="00961361">
        <w:rPr>
          <w:rFonts w:asciiTheme="minorHAnsi" w:hAnsiTheme="minorHAnsi" w:cstheme="minorHAnsi"/>
          <w:sz w:val="22"/>
          <w:szCs w:val="22"/>
        </w:rPr>
        <w:t>aMUP</w:t>
      </w:r>
      <w:proofErr w:type="spellEnd"/>
      <w:r w:rsidR="00961361">
        <w:rPr>
          <w:rFonts w:asciiTheme="minorHAnsi" w:hAnsiTheme="minorHAnsi" w:cstheme="minorHAnsi"/>
          <w:sz w:val="22"/>
          <w:szCs w:val="22"/>
        </w:rPr>
        <w:t xml:space="preserve">, </w:t>
      </w:r>
      <w:proofErr w:type="spellStart"/>
      <w:r w:rsidR="00961361">
        <w:rPr>
          <w:rFonts w:asciiTheme="minorHAnsi" w:hAnsiTheme="minorHAnsi" w:cstheme="minorHAnsi"/>
          <w:sz w:val="22"/>
          <w:szCs w:val="22"/>
        </w:rPr>
        <w:t>pubourethral</w:t>
      </w:r>
      <w:proofErr w:type="spellEnd"/>
      <w:r w:rsidR="00961361">
        <w:rPr>
          <w:rFonts w:asciiTheme="minorHAnsi" w:hAnsiTheme="minorHAnsi" w:cstheme="minorHAnsi"/>
          <w:sz w:val="22"/>
          <w:szCs w:val="22"/>
        </w:rPr>
        <w:t xml:space="preserve"> angle, prostate volume) </w:t>
      </w:r>
      <w:r w:rsidR="00FA0273">
        <w:rPr>
          <w:rFonts w:asciiTheme="minorHAnsi" w:hAnsiTheme="minorHAnsi" w:cstheme="minorHAnsi"/>
          <w:sz w:val="22"/>
          <w:szCs w:val="22"/>
        </w:rPr>
        <w:t>into pre-</w:t>
      </w:r>
      <w:r w:rsidR="00CF25CC">
        <w:rPr>
          <w:rFonts w:asciiTheme="minorHAnsi" w:hAnsiTheme="minorHAnsi" w:cstheme="minorHAnsi"/>
          <w:sz w:val="22"/>
          <w:szCs w:val="22"/>
        </w:rPr>
        <w:t xml:space="preserve">existing </w:t>
      </w:r>
      <w:r w:rsidR="00AC3391">
        <w:rPr>
          <w:rFonts w:asciiTheme="minorHAnsi" w:hAnsiTheme="minorHAnsi" w:cstheme="minorHAnsi"/>
          <w:sz w:val="22"/>
          <w:szCs w:val="22"/>
        </w:rPr>
        <w:t xml:space="preserve">multivariable </w:t>
      </w:r>
      <w:r w:rsidR="00FA0273">
        <w:rPr>
          <w:rFonts w:asciiTheme="minorHAnsi" w:hAnsiTheme="minorHAnsi" w:cstheme="minorHAnsi"/>
          <w:sz w:val="22"/>
          <w:szCs w:val="22"/>
        </w:rPr>
        <w:t xml:space="preserve">clinical </w:t>
      </w:r>
      <w:r w:rsidR="00CF25CC">
        <w:rPr>
          <w:rFonts w:asciiTheme="minorHAnsi" w:hAnsiTheme="minorHAnsi" w:cstheme="minorHAnsi"/>
          <w:sz w:val="22"/>
          <w:szCs w:val="22"/>
        </w:rPr>
        <w:t>models</w:t>
      </w:r>
      <w:r w:rsidR="00FA0273">
        <w:rPr>
          <w:rFonts w:asciiTheme="minorHAnsi" w:hAnsiTheme="minorHAnsi" w:cstheme="minorHAnsi"/>
          <w:sz w:val="22"/>
          <w:szCs w:val="22"/>
        </w:rPr>
        <w:t xml:space="preserve"> </w:t>
      </w:r>
      <w:r w:rsidR="00F631BE">
        <w:rPr>
          <w:rFonts w:asciiTheme="minorHAnsi" w:hAnsiTheme="minorHAnsi" w:cstheme="minorHAnsi"/>
          <w:sz w:val="22"/>
          <w:szCs w:val="22"/>
        </w:rPr>
        <w:t xml:space="preserve">using data from the </w:t>
      </w:r>
      <w:r w:rsidR="00F631BE" w:rsidRPr="001F5CEC">
        <w:rPr>
          <w:rFonts w:asciiTheme="minorHAnsi" w:hAnsiTheme="minorHAnsi" w:cstheme="minorHAnsi"/>
          <w:sz w:val="22"/>
          <w:szCs w:val="22"/>
        </w:rPr>
        <w:t>Michigan Urological Surgery Improvement Collaborative</w:t>
      </w:r>
      <w:r w:rsidR="00F631BE">
        <w:rPr>
          <w:rFonts w:asciiTheme="minorHAnsi" w:hAnsiTheme="minorHAnsi" w:cstheme="minorHAnsi"/>
          <w:sz w:val="22"/>
          <w:szCs w:val="22"/>
        </w:rPr>
        <w:t xml:space="preserve"> Patient Reported Outcomes (MUSIC-PRO)</w:t>
      </w:r>
      <w:r w:rsidR="00496332">
        <w:rPr>
          <w:rFonts w:asciiTheme="minorHAnsi" w:hAnsiTheme="minorHAnsi" w:cstheme="minorHAnsi"/>
          <w:sz w:val="22"/>
          <w:szCs w:val="22"/>
        </w:rPr>
        <w:t xml:space="preserve"> database</w:t>
      </w:r>
      <w:r w:rsidR="00F631BE">
        <w:rPr>
          <w:rFonts w:asciiTheme="minorHAnsi" w:hAnsiTheme="minorHAnsi" w:cstheme="minorHAnsi"/>
          <w:sz w:val="22"/>
          <w:szCs w:val="22"/>
        </w:rPr>
        <w:t>. MUSIC-PRO is a statewide initiative aimed at improving urologic care which collects patient functional outcomes and other quality of life measures.</w:t>
      </w:r>
      <w:r w:rsidR="00AC3391" w:rsidRPr="001F5CEC">
        <w:rPr>
          <w:rFonts w:asciiTheme="minorHAnsi" w:hAnsiTheme="minorHAnsi" w:cstheme="minorHAnsi"/>
          <w:sz w:val="22"/>
          <w:szCs w:val="22"/>
        </w:rPr>
        <w:t xml:space="preserve"> </w:t>
      </w:r>
      <w:r w:rsidR="00C71255">
        <w:rPr>
          <w:rFonts w:asciiTheme="minorHAnsi" w:hAnsiTheme="minorHAnsi" w:cstheme="minorHAnsi"/>
          <w:sz w:val="22"/>
          <w:szCs w:val="22"/>
        </w:rPr>
        <w:t>The s</w:t>
      </w:r>
      <w:r w:rsidR="00AC3391" w:rsidRPr="001F5CEC">
        <w:rPr>
          <w:rFonts w:asciiTheme="minorHAnsi" w:hAnsiTheme="minorHAnsi" w:cstheme="minorHAnsi"/>
          <w:sz w:val="22"/>
          <w:szCs w:val="22"/>
        </w:rPr>
        <w:t>econdary objective w</w:t>
      </w:r>
      <w:r w:rsidR="00C71255">
        <w:rPr>
          <w:rFonts w:asciiTheme="minorHAnsi" w:hAnsiTheme="minorHAnsi" w:cstheme="minorHAnsi"/>
          <w:sz w:val="22"/>
          <w:szCs w:val="22"/>
        </w:rPr>
        <w:t xml:space="preserve">as </w:t>
      </w:r>
      <w:r w:rsidR="00AC3391" w:rsidRPr="001F5CEC">
        <w:rPr>
          <w:rFonts w:asciiTheme="minorHAnsi" w:hAnsiTheme="minorHAnsi" w:cstheme="minorHAnsi"/>
          <w:sz w:val="22"/>
          <w:szCs w:val="22"/>
        </w:rPr>
        <w:t>to</w:t>
      </w:r>
      <w:r w:rsidR="00C71255">
        <w:rPr>
          <w:rFonts w:asciiTheme="minorHAnsi" w:hAnsiTheme="minorHAnsi" w:cstheme="minorHAnsi"/>
          <w:sz w:val="22"/>
          <w:szCs w:val="22"/>
        </w:rPr>
        <w:t xml:space="preserve"> </w:t>
      </w:r>
      <w:r w:rsidR="00AC3391" w:rsidRPr="001F5CEC">
        <w:rPr>
          <w:rFonts w:asciiTheme="minorHAnsi" w:hAnsiTheme="minorHAnsi" w:cstheme="minorHAnsi"/>
          <w:sz w:val="22"/>
          <w:szCs w:val="22"/>
        </w:rPr>
        <w:t xml:space="preserve">determine the </w:t>
      </w:r>
      <w:r w:rsidR="000D0375">
        <w:rPr>
          <w:rFonts w:asciiTheme="minorHAnsi" w:hAnsiTheme="minorHAnsi" w:cstheme="minorHAnsi"/>
          <w:sz w:val="22"/>
          <w:szCs w:val="22"/>
        </w:rPr>
        <w:t>interrater</w:t>
      </w:r>
      <w:r w:rsidR="00AC3391" w:rsidRPr="001F5CEC">
        <w:rPr>
          <w:rFonts w:asciiTheme="minorHAnsi" w:hAnsiTheme="minorHAnsi" w:cstheme="minorHAnsi"/>
          <w:sz w:val="22"/>
          <w:szCs w:val="22"/>
        </w:rPr>
        <w:t xml:space="preserve"> agreement of the anatomic measures.</w:t>
      </w:r>
      <w:r w:rsidR="00AC3391">
        <w:rPr>
          <w:rFonts w:asciiTheme="minorHAnsi" w:hAnsiTheme="minorHAnsi" w:cstheme="minorHAnsi"/>
          <w:sz w:val="22"/>
          <w:szCs w:val="22"/>
        </w:rPr>
        <w:t xml:space="preserve"> </w:t>
      </w:r>
    </w:p>
    <w:p w14:paraId="174F4B58" w14:textId="77777777" w:rsidR="002722B1" w:rsidRDefault="002722B1" w:rsidP="00295F5C">
      <w:pPr>
        <w:spacing w:line="480" w:lineRule="auto"/>
        <w:rPr>
          <w:rFonts w:asciiTheme="minorHAnsi" w:hAnsiTheme="minorHAnsi" w:cstheme="minorHAnsi"/>
          <w:b/>
          <w:sz w:val="22"/>
          <w:szCs w:val="22"/>
        </w:rPr>
      </w:pPr>
    </w:p>
    <w:p w14:paraId="07CC5056" w14:textId="57CE102C" w:rsidR="00295F5C" w:rsidRPr="001F5CEC" w:rsidRDefault="00295F5C" w:rsidP="00295F5C">
      <w:pPr>
        <w:spacing w:line="480" w:lineRule="auto"/>
        <w:rPr>
          <w:rFonts w:asciiTheme="minorHAnsi" w:hAnsiTheme="minorHAnsi" w:cstheme="minorHAnsi"/>
          <w:b/>
          <w:sz w:val="22"/>
          <w:szCs w:val="22"/>
        </w:rPr>
      </w:pPr>
      <w:r w:rsidRPr="001F5CEC">
        <w:rPr>
          <w:rFonts w:asciiTheme="minorHAnsi" w:hAnsiTheme="minorHAnsi" w:cstheme="minorHAnsi"/>
          <w:b/>
          <w:sz w:val="22"/>
          <w:szCs w:val="22"/>
        </w:rPr>
        <w:t xml:space="preserve">Materials and Methods </w:t>
      </w:r>
    </w:p>
    <w:p w14:paraId="3654D8FB" w14:textId="5B0F776B" w:rsidR="003C7B4F" w:rsidRPr="001F5CEC" w:rsidRDefault="00295F5C"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6265A2" w:rsidRPr="001F5CEC">
        <w:rPr>
          <w:rFonts w:asciiTheme="minorHAnsi" w:hAnsiTheme="minorHAnsi" w:cstheme="minorHAnsi"/>
          <w:sz w:val="22"/>
          <w:szCs w:val="22"/>
        </w:rPr>
        <w:t xml:space="preserve">This </w:t>
      </w:r>
      <w:r w:rsidR="007A1A47">
        <w:rPr>
          <w:rFonts w:asciiTheme="minorHAnsi" w:hAnsiTheme="minorHAnsi" w:cstheme="minorHAnsi"/>
          <w:sz w:val="22"/>
          <w:szCs w:val="22"/>
        </w:rPr>
        <w:t xml:space="preserve">HIPAA-compliant </w:t>
      </w:r>
      <w:r w:rsidR="006265A2" w:rsidRPr="001F5CEC">
        <w:rPr>
          <w:rFonts w:asciiTheme="minorHAnsi" w:hAnsiTheme="minorHAnsi" w:cstheme="minorHAnsi"/>
          <w:sz w:val="22"/>
          <w:szCs w:val="22"/>
        </w:rPr>
        <w:t xml:space="preserve">retrospective </w:t>
      </w:r>
      <w:r w:rsidR="007A1A47">
        <w:rPr>
          <w:rFonts w:asciiTheme="minorHAnsi" w:hAnsiTheme="minorHAnsi" w:cstheme="minorHAnsi"/>
          <w:sz w:val="22"/>
          <w:szCs w:val="22"/>
        </w:rPr>
        <w:t xml:space="preserve">cohort </w:t>
      </w:r>
      <w:r w:rsidR="006265A2" w:rsidRPr="001F5CEC">
        <w:rPr>
          <w:rFonts w:asciiTheme="minorHAnsi" w:hAnsiTheme="minorHAnsi" w:cstheme="minorHAnsi"/>
          <w:sz w:val="22"/>
          <w:szCs w:val="22"/>
        </w:rPr>
        <w:t xml:space="preserve">study </w:t>
      </w:r>
      <w:r w:rsidR="007A1A47">
        <w:rPr>
          <w:rFonts w:asciiTheme="minorHAnsi" w:hAnsiTheme="minorHAnsi" w:cstheme="minorHAnsi"/>
          <w:sz w:val="22"/>
          <w:szCs w:val="22"/>
        </w:rPr>
        <w:t>received</w:t>
      </w:r>
      <w:r w:rsidR="006265A2" w:rsidRPr="001F5CEC">
        <w:rPr>
          <w:rFonts w:asciiTheme="minorHAnsi" w:hAnsiTheme="minorHAnsi" w:cstheme="minorHAnsi"/>
          <w:sz w:val="22"/>
          <w:szCs w:val="22"/>
        </w:rPr>
        <w:t xml:space="preserve"> Institutional Review Board approval </w:t>
      </w:r>
      <w:r w:rsidR="007A1A47">
        <w:rPr>
          <w:rFonts w:asciiTheme="minorHAnsi" w:hAnsiTheme="minorHAnsi" w:cstheme="minorHAnsi"/>
          <w:sz w:val="22"/>
          <w:szCs w:val="22"/>
        </w:rPr>
        <w:t>and was exempt from informed consent</w:t>
      </w:r>
      <w:r w:rsidR="006265A2" w:rsidRPr="001F5CEC">
        <w:rPr>
          <w:rFonts w:asciiTheme="minorHAnsi" w:hAnsiTheme="minorHAnsi" w:cstheme="minorHAnsi"/>
          <w:sz w:val="22"/>
          <w:szCs w:val="22"/>
        </w:rPr>
        <w:t xml:space="preserve">. </w:t>
      </w:r>
      <w:r w:rsidR="007A1A47">
        <w:rPr>
          <w:rFonts w:asciiTheme="minorHAnsi" w:hAnsiTheme="minorHAnsi" w:cstheme="minorHAnsi"/>
          <w:sz w:val="22"/>
          <w:szCs w:val="22"/>
        </w:rPr>
        <w:t>This manuscript was created following Strengthening Reporting of Observational Studies in Epidemiology (STROBE) guidelines.</w:t>
      </w:r>
    </w:p>
    <w:p w14:paraId="74566EB3" w14:textId="24D51FF0" w:rsidR="00295F5C" w:rsidRPr="001F5CEC" w:rsidRDefault="00295F5C" w:rsidP="00295F5C">
      <w:pPr>
        <w:spacing w:line="480" w:lineRule="auto"/>
        <w:rPr>
          <w:rFonts w:asciiTheme="minorHAnsi" w:hAnsiTheme="minorHAnsi" w:cstheme="minorHAnsi"/>
          <w:i/>
          <w:sz w:val="22"/>
          <w:szCs w:val="22"/>
          <w:u w:val="single"/>
        </w:rPr>
      </w:pPr>
      <w:r w:rsidRPr="001F5CEC">
        <w:rPr>
          <w:rFonts w:asciiTheme="minorHAnsi" w:hAnsiTheme="minorHAnsi" w:cstheme="minorHAnsi"/>
          <w:i/>
          <w:sz w:val="22"/>
          <w:szCs w:val="22"/>
          <w:u w:val="single"/>
        </w:rPr>
        <w:t xml:space="preserve">Study population </w:t>
      </w:r>
    </w:p>
    <w:p w14:paraId="19719A58" w14:textId="035B67EF" w:rsidR="00B536F4" w:rsidRDefault="00F178CD"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951AFB" w:rsidRPr="001F5CEC">
        <w:rPr>
          <w:rFonts w:asciiTheme="minorHAnsi" w:hAnsiTheme="minorHAnsi" w:cstheme="minorHAnsi"/>
          <w:sz w:val="22"/>
          <w:szCs w:val="22"/>
        </w:rPr>
        <w:t xml:space="preserve">The </w:t>
      </w:r>
      <w:r w:rsidR="008273F9">
        <w:rPr>
          <w:rFonts w:asciiTheme="minorHAnsi" w:hAnsiTheme="minorHAnsi" w:cstheme="minorHAnsi"/>
          <w:sz w:val="22"/>
          <w:szCs w:val="22"/>
        </w:rPr>
        <w:t xml:space="preserve">study </w:t>
      </w:r>
      <w:r w:rsidR="00951AFB" w:rsidRPr="001F5CEC">
        <w:rPr>
          <w:rFonts w:asciiTheme="minorHAnsi" w:hAnsiTheme="minorHAnsi" w:cstheme="minorHAnsi"/>
          <w:sz w:val="22"/>
          <w:szCs w:val="22"/>
        </w:rPr>
        <w:t>population included adult men who underwent</w:t>
      </w:r>
      <w:r w:rsidR="00F631BE">
        <w:rPr>
          <w:rFonts w:asciiTheme="minorHAnsi" w:hAnsiTheme="minorHAnsi" w:cstheme="minorHAnsi"/>
          <w:sz w:val="22"/>
          <w:szCs w:val="22"/>
        </w:rPr>
        <w:t xml:space="preserve"> </w:t>
      </w:r>
      <w:r w:rsidR="0036376D">
        <w:rPr>
          <w:rFonts w:asciiTheme="minorHAnsi" w:hAnsiTheme="minorHAnsi" w:cstheme="minorHAnsi"/>
          <w:sz w:val="22"/>
          <w:szCs w:val="22"/>
        </w:rPr>
        <w:t>RP</w:t>
      </w:r>
      <w:r w:rsidR="00951AFB" w:rsidRPr="001F5CEC">
        <w:rPr>
          <w:rFonts w:asciiTheme="minorHAnsi" w:hAnsiTheme="minorHAnsi" w:cstheme="minorHAnsi"/>
          <w:sz w:val="22"/>
          <w:szCs w:val="22"/>
        </w:rPr>
        <w:t xml:space="preserve"> at </w:t>
      </w:r>
      <w:r w:rsidR="008273F9">
        <w:rPr>
          <w:rFonts w:asciiTheme="minorHAnsi" w:hAnsiTheme="minorHAnsi" w:cstheme="minorHAnsi"/>
          <w:sz w:val="22"/>
          <w:szCs w:val="22"/>
        </w:rPr>
        <w:t>one quaternary care facility</w:t>
      </w:r>
      <w:r w:rsidR="00951AFB" w:rsidRPr="001F5CEC">
        <w:rPr>
          <w:rFonts w:asciiTheme="minorHAnsi" w:hAnsiTheme="minorHAnsi" w:cstheme="minorHAnsi"/>
          <w:sz w:val="22"/>
          <w:szCs w:val="22"/>
        </w:rPr>
        <w:t xml:space="preserve"> and had </w:t>
      </w:r>
      <w:r w:rsidR="008273F9">
        <w:rPr>
          <w:rFonts w:asciiTheme="minorHAnsi" w:hAnsiTheme="minorHAnsi" w:cstheme="minorHAnsi"/>
          <w:sz w:val="22"/>
          <w:szCs w:val="22"/>
        </w:rPr>
        <w:t xml:space="preserve">available </w:t>
      </w:r>
      <w:r w:rsidR="007C2A5A">
        <w:rPr>
          <w:rFonts w:asciiTheme="minorHAnsi" w:hAnsiTheme="minorHAnsi" w:cstheme="minorHAnsi"/>
          <w:sz w:val="22"/>
          <w:szCs w:val="22"/>
        </w:rPr>
        <w:t xml:space="preserve">longitudinal </w:t>
      </w:r>
      <w:r w:rsidR="00951AFB" w:rsidRPr="001F5CEC">
        <w:rPr>
          <w:rFonts w:asciiTheme="minorHAnsi" w:hAnsiTheme="minorHAnsi" w:cstheme="minorHAnsi"/>
          <w:sz w:val="22"/>
          <w:szCs w:val="22"/>
        </w:rPr>
        <w:t>patient</w:t>
      </w:r>
      <w:r w:rsidR="008273F9">
        <w:rPr>
          <w:rFonts w:asciiTheme="minorHAnsi" w:hAnsiTheme="minorHAnsi" w:cstheme="minorHAnsi"/>
          <w:sz w:val="22"/>
          <w:szCs w:val="22"/>
        </w:rPr>
        <w:t>-</w:t>
      </w:r>
      <w:r w:rsidR="00951AFB" w:rsidRPr="001F5CEC">
        <w:rPr>
          <w:rFonts w:asciiTheme="minorHAnsi" w:hAnsiTheme="minorHAnsi" w:cstheme="minorHAnsi"/>
          <w:sz w:val="22"/>
          <w:szCs w:val="22"/>
        </w:rPr>
        <w:t>reported continence data in</w:t>
      </w:r>
      <w:r w:rsidR="00C738B9">
        <w:rPr>
          <w:rFonts w:asciiTheme="minorHAnsi" w:hAnsiTheme="minorHAnsi" w:cstheme="minorHAnsi"/>
          <w:sz w:val="22"/>
          <w:szCs w:val="22"/>
        </w:rPr>
        <w:t xml:space="preserve"> the </w:t>
      </w:r>
      <w:r w:rsidR="00951AFB" w:rsidRPr="001F5CEC">
        <w:rPr>
          <w:rFonts w:asciiTheme="minorHAnsi" w:hAnsiTheme="minorHAnsi" w:cstheme="minorHAnsi"/>
          <w:sz w:val="22"/>
          <w:szCs w:val="22"/>
        </w:rPr>
        <w:t>MUSIC-PRO</w:t>
      </w:r>
      <w:r w:rsidR="00C738B9">
        <w:rPr>
          <w:rFonts w:asciiTheme="minorHAnsi" w:hAnsiTheme="minorHAnsi" w:cstheme="minorHAnsi"/>
          <w:sz w:val="22"/>
          <w:szCs w:val="22"/>
        </w:rPr>
        <w:t xml:space="preserve"> </w:t>
      </w:r>
      <w:r w:rsidR="00951AFB" w:rsidRPr="001F5CEC">
        <w:rPr>
          <w:rFonts w:asciiTheme="minorHAnsi" w:hAnsiTheme="minorHAnsi" w:cstheme="minorHAnsi"/>
          <w:sz w:val="22"/>
          <w:szCs w:val="22"/>
        </w:rPr>
        <w:t xml:space="preserve">database. </w:t>
      </w:r>
      <w:r w:rsidR="00B536F4">
        <w:rPr>
          <w:rFonts w:asciiTheme="minorHAnsi" w:hAnsiTheme="minorHAnsi" w:cstheme="minorHAnsi"/>
          <w:sz w:val="22"/>
          <w:szCs w:val="22"/>
        </w:rPr>
        <w:t>MUSIC</w:t>
      </w:r>
      <w:r w:rsidR="00B536F4" w:rsidRPr="00967F87">
        <w:rPr>
          <w:rFonts w:asciiTheme="minorHAnsi" w:hAnsiTheme="minorHAnsi" w:cstheme="minorHAnsi"/>
          <w:sz w:val="22"/>
          <w:szCs w:val="22"/>
        </w:rPr>
        <w:t xml:space="preserve"> comprises 45 diverse community and academic urology practices representing approximately 90% of the urologists in the state</w:t>
      </w:r>
      <w:r w:rsidR="00B536F4">
        <w:rPr>
          <w:rFonts w:asciiTheme="minorHAnsi" w:hAnsiTheme="minorHAnsi" w:cstheme="minorHAnsi"/>
          <w:sz w:val="22"/>
          <w:szCs w:val="22"/>
        </w:rPr>
        <w:t xml:space="preserve"> of Michigan</w:t>
      </w:r>
      <w:r w:rsidR="00B536F4" w:rsidRPr="00967F87">
        <w:rPr>
          <w:rFonts w:asciiTheme="minorHAnsi" w:hAnsiTheme="minorHAnsi" w:cstheme="minorHAnsi"/>
          <w:sz w:val="22"/>
          <w:szCs w:val="22"/>
        </w:rPr>
        <w:t>. For all men seen in MUSIC practices who undergo a prostate biopsy, trained data abstractors prospectively enter a standardized set of data elements into the registry database. These elements include demographic and clinicopathologic information related to prostate biopsies, subsequent diagnoses, treatments, and follow-up care, from which both the patient characteristics and treatment strategies are derived. Prior reports have described the data acquisition and quality control activities for MUSIC, which include annual data audits at each practice and validation analyses based on insurance claims</w:t>
      </w:r>
      <w:r w:rsidR="00B536F4">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{"citationItems":[{"id":"ITEM-1","itemData":{"DOI":"10.1016/j.eururo.2014.08.024","ISSN":"18737560","PMID":"25159890","abstract":"Background Active surveillance (AS) has been proposed as an effective strategy to reduce overtreatment among men with lower risk prostate cancers. However, historical rates of initial surveillance are low (4-20%), and little is known about its application among community-based urology practices. Objective To describe contemporary utilization of AS among a population-based sample of men with low-risk prostate cancer. Design, setting, and participants We performed a prospective cohort study of men with low-risk prostate cancer managed by urologists participating in the Michigan Urological Surgery Improvement Collaborative (MUSIC). Outcome measurements and statistical analysis The principal outcome was receipt of AS as initial management for low-risk prostate cancer including the frequency of follow-up prostate-specific antigen (PSA) testing, prostate biopsy, and local therapy. We examined variation in the use of surveillance according to patient characteristics and across MUSIC practices. Finally, we used claims data to validate treatment classification in the MUSIC registry. Results and limitations We identified 682 low-risk patients from 17 MUSIC practices. Overall, 49% of men underwent initial AS. Use of initial surveillance varied widely across practices (27-80%; p = 0.005), even after accounting for differences in patient characteristics. Among men undergoing initial surveillance with at least 12 mo of follow-up, PSA testing was common (85%), whereas repeat biopsy was performed in only one-third of patients. There was excellent agreement between treatment assignments in the MUSIC registry and claims data (κ = 0.93). Limitations include unknown treatment for 8% of men with low-risk cancer. Conclusions Half of men in Michigan with low-risk prostate cancer receive initial AS. Because this proportion is much higher than reported previously, our findings suggest growing acceptance of this strategy for reducing overtreatment. Patient summary We examined the use of initial active surveillance for the management of men with low-risk prostate cancer across the state of Michigan. We found that initial surveillance is used much more commonly than previously reported, but the likelihood of a patient being placed on surveillance depends strongly on where he is treated.","author":[{"dropping-particle":"","family":"Womble","given":"Paul R.","non-dropping-particle":"","parse-names":false,"suffix":""},{"dropping-particle":"","family":"Montie","given":"James E.","non-dropping-particle":"","parse-names":false,"suffix":""},{"dropping-particle":"","family":"Ye","given":"Zaojun","non-dropping-particle":"","parse-names":false,"suffix":""},{"dropping-particle":"","family":"Linsell","given":"Susan M.","non-dropping-particle":"","parse-names":false,"suffix":""},{"dropping-particle":"","family":"Lane","given":"Brian R.","non-dropping-particle":"","parse-names":false,"suffix":""},{"dropping-particle":"","family":"Miller","given":"David C.","non-dropping-particle":"","parse-names":false,"suffix":""}],"container-title":"European Urology","id":"ITEM-1","issue":"1","issued":{"date-parts":[["2015","1","1"]]},"page":"44-50","publisher":"Elsevier B.V.","title":"Contemporary use of initial active surveillance among men in Michigan with low-risk prostate cancer","type":"article-journal","volume":"67"},"uris":["http://www.mendeley.com/documents/?uuid=2eb47709-6ddb-3930-8215-678583228610"]},{"id":"ITEM-2","itemData":{"DOI":"10.1016/j.juro.2015.03.126","ISSN":"15273792","PMID":"25896556","abstract":"Purpose Recent data suggest that increasing rates of hospitalization after prostate biopsy are mainly due to infections from fluoroquinolone-resistant bacteria. We report the initial results of a statewide quality improvement intervention aimed at reducing infection related hospitalizations after transrectal prostate biopsy. Materials and Methods From March 2012 through May 2014 data on patient demographics, comorbidities, prophylactic antibiotics and post-biopsy complications were prospectively entered into an electronic registry by trained abstractors in 30 practices participating in the MUSIC. During this period each practice implemented one or both of the interventions aimed at addressing fluoroquinolone resistance, namely 1) use of rectal swab culture directed antibiotics or 2) augmented antibiotic prophylaxis with a second agent in addition to standard fluoroquinolone therapy. We identified all patients with an infection related hospitalization within 30 days after biopsy and validated these events with claims data for a subset of patients. We then compared the frequency of infection related hospitalizations before (5,028 biopsies) and after (4,087 biopsies) implementation of the quality improvement intervention. Results Overall the proportion of patients with infection related hospitalizations after prostate biopsy decreased by 53% from before to after implementation of the quality improvement intervention (1.19% before vs 0.56% after, p=0.002). Among post-implementation biopsies the rates of hospitalization were similar for patients receiving culture directed (0.47%) vs augmented (0.57%) prophylaxis. At a practice level the relative change in hospitalization rates varied from a 7.4% decrease to a 3.0% increase. Fourteen practices had no post-implementation hospitalizations. Conclusions A statewide intervention aimed at addressing fluoroquinolone resistance reduced post-prostate biopsy infection related hospitalizations in Michigan by 53%.","author":[{"dropping-particle":"","family":"Womble","given":"Paul R.","non-dropping-particle":"","parse-names":false,"suffix":""},{"dropping-particle":"","family":"Linsell","given":"Susan M.","non-dropping-particle":"","parse-names":false,"suffix":""},{"dropping-particle":"","family":"Gao","given":"Yuqing","non-dropping-particle":"","parse-names":false,"suffix":""},{"dropping-particle":"","family":"Ye","given":"Zaojun","non-dropping-particle":"","parse-names":false,"suffix":""},{"dropping-particle":"","family":"Montie","given":"James E.","non-dropping-particle":"","parse-names":false,"suffix":""},{"dropping-particle":"","family":"Gandhi","given":"Tejal N.","non-dropping-particle":"","parse-names":false,"suffix":""},{"dropping-particle":"","family":"Lane","given":"Brian R.","non-dropping-particle":"","parse-names":false,"suffix":""},{"dropping-particle":"","family":"Burks","given":"Frank N.","non-dropping-particle":"","parse-names":false,"suffix":""},{"dropping-particle":"","family":"Miller","given":"David C.","non-dropping-particle":"","parse-names":false,"suffix":""}],"container-title":"Journal of Urology","id":"ITEM-2","issue":"2","issued":{"date-parts":[["2015"]]},"page":"403-409","publisher":"Lippincott Williams and Wilkins","title":"A Statewide Intervention to Reduce Hospitalizations after Prostate Biopsy","type":"article-journal","volume":"194"},"uris":["http://www.mendeley.com/documents/?uuid=164ebff3-c085-3916-abb9-9ee921fa3f47"]}],"mendeley":{"formattedCitation":"&lt;sup&gt;26,27&lt;/sup&gt;","plainTextFormattedCitation":"26,27","previouslyFormattedCitation":"&lt;sup&gt;26,27&lt;/sup&gt;"},"properties":{"noteIndex":0},"schema":"https://github.com/citation-style-language/schema/raw/master/csl-citation.json"}</w:instrText>
      </w:r>
      <w:r w:rsidR="00B536F4">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26,27</w:t>
      </w:r>
      <w:r w:rsidR="00B536F4">
        <w:rPr>
          <w:rFonts w:asciiTheme="minorHAnsi" w:hAnsiTheme="minorHAnsi" w:cstheme="minorHAnsi"/>
          <w:sz w:val="22"/>
          <w:szCs w:val="22"/>
        </w:rPr>
        <w:fldChar w:fldCharType="end"/>
      </w:r>
      <w:r w:rsidR="00864949">
        <w:rPr>
          <w:rFonts w:asciiTheme="minorHAnsi" w:hAnsiTheme="minorHAnsi" w:cstheme="minorHAnsi"/>
          <w:sz w:val="22"/>
          <w:szCs w:val="22"/>
        </w:rPr>
        <w:t>.</w:t>
      </w:r>
      <w:r w:rsidR="00B536F4" w:rsidRPr="00967F87">
        <w:rPr>
          <w:rFonts w:asciiTheme="minorHAnsi" w:hAnsiTheme="minorHAnsi" w:cstheme="minorHAnsi"/>
          <w:sz w:val="22"/>
          <w:szCs w:val="22"/>
        </w:rPr>
        <w:t xml:space="preserve"> Each MUSIC practice obtained an exemption or approval for collaborative participation from a local institutional review board.</w:t>
      </w:r>
      <w:r w:rsidR="0046542F">
        <w:rPr>
          <w:rFonts w:asciiTheme="minorHAnsi" w:hAnsiTheme="minorHAnsi" w:cstheme="minorHAnsi"/>
          <w:sz w:val="22"/>
          <w:szCs w:val="22"/>
        </w:rPr>
        <w:t xml:space="preserve"> The MUSIC database has been used to </w:t>
      </w:r>
      <w:r w:rsidR="0046542F">
        <w:rPr>
          <w:rFonts w:asciiTheme="minorHAnsi" w:hAnsiTheme="minorHAnsi" w:cstheme="minorHAnsi"/>
          <w:sz w:val="22"/>
          <w:szCs w:val="22"/>
        </w:rPr>
        <w:lastRenderedPageBreak/>
        <w:t>create over 50 publications from 2014-present</w:t>
      </w:r>
      <w:r w:rsidR="0046542F">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{"citationItems":[{"id":"ITEM-1","itemData":{"URL":"https://musicurology.com/publications/","accessed":{"date-parts":[["2021","2","15"]]},"id":"ITEM-1","issued":{"date-parts":[["0"]]},"title":"Publications | Michigan Urological Surgery Improvement Collaborative (MUSIC)","type":"webpage"},"uris":["http://www.mendeley.com/documents/?uuid=3a24005d-1638-354f-b9a6-4376ea88e475"]}],"mendeley":{"formattedCitation":"&lt;sup&gt;28&lt;/sup&gt;","plainTextFormattedCitation":"28"},"properties":{"noteIndex":0},"schema":"https://github.com/citation-style-language/schema/raw/master/csl-citation.json"}</w:instrText>
      </w:r>
      <w:r w:rsidR="0046542F">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28</w:t>
      </w:r>
      <w:r w:rsidR="0046542F">
        <w:rPr>
          <w:rFonts w:asciiTheme="minorHAnsi" w:hAnsiTheme="minorHAnsi" w:cstheme="minorHAnsi"/>
          <w:sz w:val="22"/>
          <w:szCs w:val="22"/>
        </w:rPr>
        <w:fldChar w:fldCharType="end"/>
      </w:r>
      <w:r w:rsidR="0046542F">
        <w:rPr>
          <w:rFonts w:asciiTheme="minorHAnsi" w:hAnsiTheme="minorHAnsi" w:cstheme="minorHAnsi"/>
          <w:sz w:val="22"/>
          <w:szCs w:val="22"/>
        </w:rPr>
        <w:t xml:space="preserve">. </w:t>
      </w:r>
      <w:r w:rsidR="003516BB">
        <w:rPr>
          <w:rFonts w:asciiTheme="minorHAnsi" w:hAnsiTheme="minorHAnsi" w:cstheme="minorHAnsi"/>
          <w:sz w:val="22"/>
          <w:szCs w:val="22"/>
        </w:rPr>
        <w:t xml:space="preserve">The MRI-based anatomic measures we collected were obtained outside of the MUSIC database and have not been previously reported. </w:t>
      </w:r>
    </w:p>
    <w:p w14:paraId="6203ED17" w14:textId="4D935D14" w:rsidR="004311BD" w:rsidRPr="001F5CEC" w:rsidRDefault="00295F5C" w:rsidP="00B536F4">
      <w:pPr>
        <w:spacing w:line="480" w:lineRule="auto"/>
        <w:ind w:firstLine="720"/>
        <w:rPr>
          <w:rFonts w:asciiTheme="minorHAnsi" w:hAnsiTheme="minorHAnsi" w:cstheme="minorHAnsi"/>
          <w:sz w:val="22"/>
          <w:szCs w:val="22"/>
        </w:rPr>
      </w:pPr>
      <w:r w:rsidRPr="001F5CEC">
        <w:rPr>
          <w:rFonts w:asciiTheme="minorHAnsi" w:hAnsiTheme="minorHAnsi" w:cstheme="minorHAnsi"/>
          <w:sz w:val="22"/>
          <w:szCs w:val="22"/>
        </w:rPr>
        <w:t xml:space="preserve">Inclusion </w:t>
      </w:r>
      <w:r w:rsidR="00951AFB" w:rsidRPr="001F5CEC">
        <w:rPr>
          <w:rFonts w:asciiTheme="minorHAnsi" w:hAnsiTheme="minorHAnsi" w:cstheme="minorHAnsi"/>
          <w:sz w:val="22"/>
          <w:szCs w:val="22"/>
        </w:rPr>
        <w:t>c</w:t>
      </w:r>
      <w:r w:rsidRPr="001F5CEC">
        <w:rPr>
          <w:rFonts w:asciiTheme="minorHAnsi" w:hAnsiTheme="minorHAnsi" w:cstheme="minorHAnsi"/>
          <w:sz w:val="22"/>
          <w:szCs w:val="22"/>
        </w:rPr>
        <w:t xml:space="preserve">riteria </w:t>
      </w:r>
      <w:r w:rsidR="00951AFB" w:rsidRPr="001F5CEC">
        <w:rPr>
          <w:rFonts w:asciiTheme="minorHAnsi" w:hAnsiTheme="minorHAnsi" w:cstheme="minorHAnsi"/>
          <w:sz w:val="22"/>
          <w:szCs w:val="22"/>
        </w:rPr>
        <w:t xml:space="preserve">were: 1) adult males who underwent </w:t>
      </w:r>
      <w:r w:rsidR="008273F9">
        <w:rPr>
          <w:rFonts w:asciiTheme="minorHAnsi" w:hAnsiTheme="minorHAnsi" w:cstheme="minorHAnsi"/>
          <w:sz w:val="22"/>
          <w:szCs w:val="22"/>
        </w:rPr>
        <w:t xml:space="preserve">retropubic robot-assisted </w:t>
      </w:r>
      <w:r w:rsidR="0036376D">
        <w:rPr>
          <w:rFonts w:asciiTheme="minorHAnsi" w:hAnsiTheme="minorHAnsi" w:cstheme="minorHAnsi"/>
          <w:sz w:val="22"/>
          <w:szCs w:val="22"/>
        </w:rPr>
        <w:t>RP</w:t>
      </w:r>
      <w:r w:rsidR="00951AFB" w:rsidRPr="001F5CEC">
        <w:rPr>
          <w:rFonts w:asciiTheme="minorHAnsi" w:hAnsiTheme="minorHAnsi" w:cstheme="minorHAnsi"/>
          <w:sz w:val="22"/>
          <w:szCs w:val="22"/>
        </w:rPr>
        <w:t xml:space="preserve"> between </w:t>
      </w:r>
      <w:r w:rsidR="00967F87">
        <w:rPr>
          <w:rFonts w:asciiTheme="minorHAnsi" w:hAnsiTheme="minorHAnsi" w:cstheme="minorHAnsi"/>
          <w:sz w:val="22"/>
          <w:szCs w:val="22"/>
        </w:rPr>
        <w:t>August</w:t>
      </w:r>
      <w:r w:rsidR="00951AFB" w:rsidRPr="001F5CEC">
        <w:rPr>
          <w:rFonts w:asciiTheme="minorHAnsi" w:hAnsiTheme="minorHAnsi" w:cstheme="minorHAnsi"/>
          <w:sz w:val="22"/>
          <w:szCs w:val="22"/>
        </w:rPr>
        <w:t xml:space="preserve"> 2015 - </w:t>
      </w:r>
      <w:r w:rsidR="00967F87">
        <w:rPr>
          <w:rFonts w:asciiTheme="minorHAnsi" w:hAnsiTheme="minorHAnsi" w:cstheme="minorHAnsi"/>
          <w:sz w:val="22"/>
          <w:szCs w:val="22"/>
        </w:rPr>
        <w:t>October</w:t>
      </w:r>
      <w:r w:rsidR="00951AFB" w:rsidRPr="001F5CEC">
        <w:rPr>
          <w:rFonts w:asciiTheme="minorHAnsi" w:hAnsiTheme="minorHAnsi" w:cstheme="minorHAnsi"/>
          <w:sz w:val="22"/>
          <w:szCs w:val="22"/>
        </w:rPr>
        <w:t xml:space="preserve"> 20</w:t>
      </w:r>
      <w:r w:rsidR="00967F87">
        <w:rPr>
          <w:rFonts w:asciiTheme="minorHAnsi" w:hAnsiTheme="minorHAnsi" w:cstheme="minorHAnsi"/>
          <w:sz w:val="22"/>
          <w:szCs w:val="22"/>
        </w:rPr>
        <w:t>19</w:t>
      </w:r>
      <w:r w:rsidR="007C2A5A">
        <w:rPr>
          <w:rFonts w:asciiTheme="minorHAnsi" w:hAnsiTheme="minorHAnsi" w:cstheme="minorHAnsi"/>
          <w:sz w:val="22"/>
          <w:szCs w:val="22"/>
        </w:rPr>
        <w:t>;</w:t>
      </w:r>
      <w:r w:rsidR="00951AFB" w:rsidRPr="001F5CEC">
        <w:rPr>
          <w:rFonts w:asciiTheme="minorHAnsi" w:hAnsiTheme="minorHAnsi" w:cstheme="minorHAnsi"/>
          <w:sz w:val="22"/>
          <w:szCs w:val="22"/>
        </w:rPr>
        <w:t xml:space="preserve"> 2) completion of baseline </w:t>
      </w:r>
      <w:r w:rsidR="008273F9">
        <w:rPr>
          <w:rFonts w:asciiTheme="minorHAnsi" w:hAnsiTheme="minorHAnsi" w:cstheme="minorHAnsi"/>
          <w:sz w:val="22"/>
          <w:szCs w:val="22"/>
        </w:rPr>
        <w:t>MUSIC-PRO survey</w:t>
      </w:r>
      <w:r w:rsidR="00CC2043">
        <w:rPr>
          <w:rFonts w:asciiTheme="minorHAnsi" w:hAnsiTheme="minorHAnsi" w:cstheme="minorHAnsi"/>
          <w:sz w:val="22"/>
          <w:szCs w:val="22"/>
        </w:rPr>
        <w:t xml:space="preserve"> within 3 months prior to RP</w:t>
      </w:r>
      <w:r w:rsidR="007C2A5A">
        <w:rPr>
          <w:rFonts w:asciiTheme="minorHAnsi" w:hAnsiTheme="minorHAnsi" w:cstheme="minorHAnsi"/>
          <w:sz w:val="22"/>
          <w:szCs w:val="22"/>
        </w:rPr>
        <w:t>;</w:t>
      </w:r>
      <w:r w:rsidR="008273F9">
        <w:rPr>
          <w:rFonts w:asciiTheme="minorHAnsi" w:hAnsiTheme="minorHAnsi" w:cstheme="minorHAnsi"/>
          <w:sz w:val="22"/>
          <w:szCs w:val="22"/>
        </w:rPr>
        <w:t xml:space="preserve"> 3) completion of at least one MUSIC-PRO survey at 3, 6, or 12 months after RP</w:t>
      </w:r>
      <w:r w:rsidR="007C2A5A">
        <w:rPr>
          <w:rFonts w:asciiTheme="minorHAnsi" w:hAnsiTheme="minorHAnsi" w:cstheme="minorHAnsi"/>
          <w:sz w:val="22"/>
          <w:szCs w:val="22"/>
        </w:rPr>
        <w:t>; and</w:t>
      </w:r>
      <w:r w:rsidR="008273F9">
        <w:rPr>
          <w:rFonts w:asciiTheme="minorHAnsi" w:hAnsiTheme="minorHAnsi" w:cstheme="minorHAnsi"/>
          <w:sz w:val="22"/>
          <w:szCs w:val="22"/>
        </w:rPr>
        <w:t xml:space="preserve"> 4) diagnostic pre-operative prostate MRI performed within 12 prior to RP</w:t>
      </w:r>
      <w:r w:rsidR="00951AFB" w:rsidRPr="001F5CEC">
        <w:rPr>
          <w:rFonts w:asciiTheme="minorHAnsi" w:hAnsiTheme="minorHAnsi" w:cstheme="minorHAnsi"/>
          <w:sz w:val="22"/>
          <w:szCs w:val="22"/>
        </w:rPr>
        <w:t xml:space="preserve">. </w:t>
      </w:r>
      <w:r w:rsidR="008273F9">
        <w:rPr>
          <w:rFonts w:asciiTheme="minorHAnsi" w:hAnsiTheme="minorHAnsi" w:cstheme="minorHAnsi"/>
          <w:sz w:val="22"/>
          <w:szCs w:val="22"/>
        </w:rPr>
        <w:t xml:space="preserve">There were no exclusion criteria. </w:t>
      </w:r>
      <w:r w:rsidR="0065665F">
        <w:rPr>
          <w:rFonts w:asciiTheme="minorHAnsi" w:hAnsiTheme="minorHAnsi" w:cstheme="minorHAnsi"/>
          <w:sz w:val="22"/>
          <w:szCs w:val="22"/>
        </w:rPr>
        <w:t>The total study cohort was comprised of</w:t>
      </w:r>
      <w:r w:rsidR="008273F9">
        <w:rPr>
          <w:rFonts w:asciiTheme="minorHAnsi" w:hAnsiTheme="minorHAnsi" w:cstheme="minorHAnsi"/>
          <w:sz w:val="22"/>
          <w:szCs w:val="22"/>
        </w:rPr>
        <w:t xml:space="preserve"> </w:t>
      </w:r>
      <w:r w:rsidR="003B534B" w:rsidRPr="00A97ADE">
        <w:rPr>
          <w:rFonts w:asciiTheme="minorHAnsi" w:hAnsiTheme="minorHAnsi" w:cstheme="minorHAnsi"/>
          <w:sz w:val="22"/>
          <w:szCs w:val="22"/>
        </w:rPr>
        <w:t>589</w:t>
      </w:r>
      <w:r w:rsidR="004311BD" w:rsidRPr="00A97ADE">
        <w:rPr>
          <w:rFonts w:asciiTheme="minorHAnsi" w:hAnsiTheme="minorHAnsi" w:cstheme="minorHAnsi"/>
          <w:sz w:val="22"/>
          <w:szCs w:val="22"/>
        </w:rPr>
        <w:t xml:space="preserve"> </w:t>
      </w:r>
      <w:r w:rsidR="008273F9">
        <w:rPr>
          <w:rFonts w:asciiTheme="minorHAnsi" w:hAnsiTheme="minorHAnsi" w:cstheme="minorHAnsi"/>
          <w:sz w:val="22"/>
          <w:szCs w:val="22"/>
        </w:rPr>
        <w:t>men</w:t>
      </w:r>
      <w:r w:rsidR="004311BD" w:rsidRPr="00A97ADE">
        <w:rPr>
          <w:rFonts w:asciiTheme="minorHAnsi" w:hAnsiTheme="minorHAnsi" w:cstheme="minorHAnsi"/>
          <w:sz w:val="22"/>
          <w:szCs w:val="22"/>
        </w:rPr>
        <w:t>.</w:t>
      </w:r>
      <w:r w:rsidR="00832E6E">
        <w:rPr>
          <w:rFonts w:asciiTheme="minorHAnsi" w:hAnsiTheme="minorHAnsi" w:cstheme="minorHAnsi"/>
          <w:sz w:val="22"/>
          <w:szCs w:val="22"/>
        </w:rPr>
        <w:t xml:space="preserve"> Different subsets of this group were included in each model due to missing data at the 3</w:t>
      </w:r>
      <w:r w:rsidR="00B536F4">
        <w:rPr>
          <w:rFonts w:asciiTheme="minorHAnsi" w:hAnsiTheme="minorHAnsi" w:cstheme="minorHAnsi"/>
          <w:sz w:val="22"/>
          <w:szCs w:val="22"/>
        </w:rPr>
        <w:t>-</w:t>
      </w:r>
      <w:r w:rsidR="00832E6E">
        <w:rPr>
          <w:rFonts w:asciiTheme="minorHAnsi" w:hAnsiTheme="minorHAnsi" w:cstheme="minorHAnsi"/>
          <w:sz w:val="22"/>
          <w:szCs w:val="22"/>
        </w:rPr>
        <w:t>, 6</w:t>
      </w:r>
      <w:r w:rsidR="00B536F4">
        <w:rPr>
          <w:rFonts w:asciiTheme="minorHAnsi" w:hAnsiTheme="minorHAnsi" w:cstheme="minorHAnsi"/>
          <w:sz w:val="22"/>
          <w:szCs w:val="22"/>
        </w:rPr>
        <w:t>-</w:t>
      </w:r>
      <w:r w:rsidR="00832E6E">
        <w:rPr>
          <w:rFonts w:asciiTheme="minorHAnsi" w:hAnsiTheme="minorHAnsi" w:cstheme="minorHAnsi"/>
          <w:sz w:val="22"/>
          <w:szCs w:val="22"/>
        </w:rPr>
        <w:t xml:space="preserve">, </w:t>
      </w:r>
      <w:r w:rsidR="008273F9">
        <w:rPr>
          <w:rFonts w:asciiTheme="minorHAnsi" w:hAnsiTheme="minorHAnsi" w:cstheme="minorHAnsi"/>
          <w:sz w:val="22"/>
          <w:szCs w:val="22"/>
        </w:rPr>
        <w:t xml:space="preserve">or </w:t>
      </w:r>
      <w:r w:rsidR="00832E6E">
        <w:rPr>
          <w:rFonts w:asciiTheme="minorHAnsi" w:hAnsiTheme="minorHAnsi" w:cstheme="minorHAnsi"/>
          <w:sz w:val="22"/>
          <w:szCs w:val="22"/>
        </w:rPr>
        <w:t>12</w:t>
      </w:r>
      <w:r w:rsidR="00B536F4">
        <w:rPr>
          <w:rFonts w:asciiTheme="minorHAnsi" w:hAnsiTheme="minorHAnsi" w:cstheme="minorHAnsi"/>
          <w:sz w:val="22"/>
          <w:szCs w:val="22"/>
        </w:rPr>
        <w:t>-</w:t>
      </w:r>
      <w:r w:rsidR="00832E6E">
        <w:rPr>
          <w:rFonts w:asciiTheme="minorHAnsi" w:hAnsiTheme="minorHAnsi" w:cstheme="minorHAnsi"/>
          <w:sz w:val="22"/>
          <w:szCs w:val="22"/>
        </w:rPr>
        <w:t>month time</w:t>
      </w:r>
      <w:r w:rsidR="008273F9">
        <w:rPr>
          <w:rFonts w:asciiTheme="minorHAnsi" w:hAnsiTheme="minorHAnsi" w:cstheme="minorHAnsi"/>
          <w:sz w:val="22"/>
          <w:szCs w:val="22"/>
        </w:rPr>
        <w:t xml:space="preserve"> </w:t>
      </w:r>
      <w:r w:rsidR="00832E6E">
        <w:rPr>
          <w:rFonts w:asciiTheme="minorHAnsi" w:hAnsiTheme="minorHAnsi" w:cstheme="minorHAnsi"/>
          <w:sz w:val="22"/>
          <w:szCs w:val="22"/>
        </w:rPr>
        <w:t xml:space="preserve">points. </w:t>
      </w:r>
    </w:p>
    <w:p w14:paraId="34723E86" w14:textId="77777777" w:rsidR="00951AFB" w:rsidRPr="001F5CEC" w:rsidRDefault="00295F5C" w:rsidP="00951AFB">
      <w:pPr>
        <w:spacing w:line="480" w:lineRule="auto"/>
        <w:rPr>
          <w:rFonts w:asciiTheme="minorHAnsi" w:hAnsiTheme="minorHAnsi" w:cstheme="minorHAnsi"/>
          <w:i/>
          <w:sz w:val="22"/>
          <w:szCs w:val="22"/>
          <w:u w:val="single"/>
        </w:rPr>
      </w:pPr>
      <w:r w:rsidRPr="001F5CEC">
        <w:rPr>
          <w:rFonts w:asciiTheme="minorHAnsi" w:hAnsiTheme="minorHAnsi" w:cstheme="minorHAnsi"/>
          <w:i/>
          <w:sz w:val="22"/>
          <w:szCs w:val="22"/>
          <w:u w:val="single"/>
        </w:rPr>
        <w:t xml:space="preserve">Data Extraction </w:t>
      </w:r>
    </w:p>
    <w:p w14:paraId="61C07ADA" w14:textId="12B659AA" w:rsidR="00295F5C" w:rsidRPr="006B6773" w:rsidRDefault="00B113A7" w:rsidP="00F631BE">
      <w:pPr>
        <w:spacing w:line="480" w:lineRule="auto"/>
        <w:ind w:firstLine="720"/>
        <w:rPr>
          <w:rFonts w:asciiTheme="minorHAnsi" w:hAnsiTheme="minorHAnsi" w:cstheme="minorHAnsi"/>
          <w:sz w:val="22"/>
          <w:szCs w:val="22"/>
        </w:rPr>
      </w:pPr>
      <w:r>
        <w:rPr>
          <w:rFonts w:asciiTheme="minorHAnsi" w:hAnsiTheme="minorHAnsi" w:cstheme="minorHAnsi"/>
          <w:sz w:val="22"/>
          <w:szCs w:val="22"/>
        </w:rPr>
        <w:t>The following data were extracted from the MUSIC-PRO database and the electronic medical record system</w:t>
      </w:r>
      <w:r w:rsidR="00951AFB" w:rsidRPr="001F5CEC">
        <w:rPr>
          <w:rFonts w:asciiTheme="minorHAnsi" w:hAnsiTheme="minorHAnsi" w:cstheme="minorHAnsi"/>
          <w:sz w:val="22"/>
          <w:szCs w:val="22"/>
        </w:rPr>
        <w:t xml:space="preserve">: </w:t>
      </w:r>
      <w:r w:rsidR="00951AFB" w:rsidRPr="004450B8">
        <w:rPr>
          <w:rFonts w:asciiTheme="minorHAnsi" w:hAnsiTheme="minorHAnsi" w:cstheme="minorHAnsi"/>
          <w:sz w:val="22"/>
          <w:szCs w:val="22"/>
        </w:rPr>
        <w:t>age at</w:t>
      </w:r>
      <w:r w:rsidR="002A1C3D" w:rsidRPr="004450B8">
        <w:rPr>
          <w:rFonts w:asciiTheme="minorHAnsi" w:hAnsiTheme="minorHAnsi" w:cstheme="minorHAnsi"/>
          <w:sz w:val="22"/>
          <w:szCs w:val="22"/>
        </w:rPr>
        <w:t xml:space="preserve"> diagnosis</w:t>
      </w:r>
      <w:r w:rsidR="00951AFB" w:rsidRPr="004450B8">
        <w:rPr>
          <w:rFonts w:asciiTheme="minorHAnsi" w:hAnsiTheme="minorHAnsi" w:cstheme="minorHAnsi"/>
          <w:sz w:val="22"/>
          <w:szCs w:val="22"/>
        </w:rPr>
        <w:t>;</w:t>
      </w:r>
      <w:r w:rsidR="001E6143" w:rsidRPr="004450B8">
        <w:rPr>
          <w:rFonts w:asciiTheme="minorHAnsi" w:hAnsiTheme="minorHAnsi" w:cstheme="minorHAnsi"/>
          <w:sz w:val="22"/>
          <w:szCs w:val="22"/>
        </w:rPr>
        <w:t xml:space="preserve"> </w:t>
      </w:r>
      <w:r w:rsidR="002A1C3D" w:rsidRPr="004450B8">
        <w:rPr>
          <w:rFonts w:asciiTheme="minorHAnsi" w:hAnsiTheme="minorHAnsi" w:cstheme="minorHAnsi"/>
          <w:sz w:val="22"/>
          <w:szCs w:val="22"/>
        </w:rPr>
        <w:t xml:space="preserve">race; </w:t>
      </w:r>
      <w:r w:rsidR="00951AFB" w:rsidRPr="004450B8">
        <w:rPr>
          <w:rFonts w:asciiTheme="minorHAnsi" w:hAnsiTheme="minorHAnsi" w:cstheme="minorHAnsi"/>
          <w:sz w:val="22"/>
          <w:szCs w:val="22"/>
        </w:rPr>
        <w:t xml:space="preserve">body mass index; </w:t>
      </w:r>
      <w:r w:rsidR="00D40DAC">
        <w:rPr>
          <w:rFonts w:asciiTheme="minorHAnsi" w:hAnsiTheme="minorHAnsi" w:cstheme="minorHAnsi"/>
          <w:sz w:val="22"/>
          <w:szCs w:val="22"/>
        </w:rPr>
        <w:t>grade group</w:t>
      </w:r>
      <w:r w:rsidR="00951AFB" w:rsidRPr="004450B8">
        <w:rPr>
          <w:rFonts w:asciiTheme="minorHAnsi" w:hAnsiTheme="minorHAnsi" w:cstheme="minorHAnsi"/>
          <w:sz w:val="22"/>
          <w:szCs w:val="22"/>
        </w:rPr>
        <w:t xml:space="preserve">; maximum </w:t>
      </w:r>
      <w:r w:rsidR="008A1C09">
        <w:rPr>
          <w:rFonts w:asciiTheme="minorHAnsi" w:hAnsiTheme="minorHAnsi" w:cstheme="minorHAnsi"/>
          <w:sz w:val="22"/>
          <w:szCs w:val="22"/>
        </w:rPr>
        <w:t>whole-gland Prostate Imaging Data and Reporting System version 2 (</w:t>
      </w:r>
      <w:r w:rsidR="00951AFB" w:rsidRPr="004450B8">
        <w:rPr>
          <w:rFonts w:asciiTheme="minorHAnsi" w:hAnsiTheme="minorHAnsi" w:cstheme="minorHAnsi"/>
          <w:sz w:val="22"/>
          <w:szCs w:val="22"/>
        </w:rPr>
        <w:t>PI-RADS</w:t>
      </w:r>
      <w:r w:rsidR="008A1C09">
        <w:rPr>
          <w:rFonts w:asciiTheme="minorHAnsi" w:hAnsiTheme="minorHAnsi" w:cstheme="minorHAnsi"/>
          <w:sz w:val="22"/>
          <w:szCs w:val="22"/>
        </w:rPr>
        <w:t xml:space="preserve"> v2)</w:t>
      </w:r>
      <w:r w:rsidR="00951AFB" w:rsidRPr="004450B8">
        <w:rPr>
          <w:rFonts w:asciiTheme="minorHAnsi" w:hAnsiTheme="minorHAnsi" w:cstheme="minorHAnsi"/>
          <w:sz w:val="22"/>
          <w:szCs w:val="22"/>
        </w:rPr>
        <w:t xml:space="preserve"> score; </w:t>
      </w:r>
      <w:r w:rsidR="002A1C3D" w:rsidRPr="004450B8">
        <w:rPr>
          <w:rFonts w:asciiTheme="minorHAnsi" w:hAnsiTheme="minorHAnsi" w:cstheme="minorHAnsi"/>
          <w:sz w:val="22"/>
          <w:szCs w:val="22"/>
        </w:rPr>
        <w:t xml:space="preserve">TNM stage; </w:t>
      </w:r>
      <w:r w:rsidR="00951AFB" w:rsidRPr="004450B8">
        <w:rPr>
          <w:rFonts w:asciiTheme="minorHAnsi" w:hAnsiTheme="minorHAnsi" w:cstheme="minorHAnsi"/>
          <w:sz w:val="22"/>
          <w:szCs w:val="22"/>
        </w:rPr>
        <w:t xml:space="preserve">clinical stage; </w:t>
      </w:r>
      <w:r>
        <w:rPr>
          <w:rFonts w:asciiTheme="minorHAnsi" w:hAnsiTheme="minorHAnsi" w:cstheme="minorHAnsi"/>
          <w:sz w:val="22"/>
          <w:szCs w:val="22"/>
        </w:rPr>
        <w:t>presence of seminal vesicle invasion</w:t>
      </w:r>
      <w:r w:rsidR="00951AFB" w:rsidRPr="004450B8">
        <w:rPr>
          <w:rFonts w:asciiTheme="minorHAnsi" w:hAnsiTheme="minorHAnsi" w:cstheme="minorHAnsi"/>
          <w:sz w:val="22"/>
          <w:szCs w:val="22"/>
        </w:rPr>
        <w:t>; presence of extracapsular extension</w:t>
      </w:r>
      <w:r w:rsidR="001E6143" w:rsidRPr="004450B8">
        <w:rPr>
          <w:rFonts w:asciiTheme="minorHAnsi" w:hAnsiTheme="minorHAnsi" w:cstheme="minorHAnsi"/>
          <w:sz w:val="22"/>
          <w:szCs w:val="22"/>
        </w:rPr>
        <w:t>; i</w:t>
      </w:r>
      <w:r w:rsidR="00951AFB" w:rsidRPr="004450B8">
        <w:rPr>
          <w:rFonts w:asciiTheme="minorHAnsi" w:hAnsiTheme="minorHAnsi" w:cstheme="minorHAnsi"/>
          <w:sz w:val="22"/>
          <w:szCs w:val="22"/>
        </w:rPr>
        <w:t>ndex lesion size</w:t>
      </w:r>
      <w:r>
        <w:rPr>
          <w:rFonts w:asciiTheme="minorHAnsi" w:hAnsiTheme="minorHAnsi" w:cstheme="minorHAnsi"/>
          <w:sz w:val="22"/>
          <w:szCs w:val="22"/>
        </w:rPr>
        <w:t xml:space="preserve"> (i.e., maximum diameter </w:t>
      </w:r>
      <w:r w:rsidR="00CB601A">
        <w:rPr>
          <w:rFonts w:asciiTheme="minorHAnsi" w:hAnsiTheme="minorHAnsi" w:cstheme="minorHAnsi"/>
          <w:sz w:val="22"/>
          <w:szCs w:val="22"/>
        </w:rPr>
        <w:t xml:space="preserve">of largest </w:t>
      </w:r>
      <w:r>
        <w:rPr>
          <w:rFonts w:asciiTheme="minorHAnsi" w:hAnsiTheme="minorHAnsi" w:cstheme="minorHAnsi"/>
          <w:sz w:val="22"/>
          <w:szCs w:val="22"/>
        </w:rPr>
        <w:t>mass in prostate)</w:t>
      </w:r>
      <w:r w:rsidR="001E6143" w:rsidRPr="004450B8">
        <w:rPr>
          <w:rFonts w:asciiTheme="minorHAnsi" w:hAnsiTheme="minorHAnsi" w:cstheme="minorHAnsi"/>
          <w:sz w:val="22"/>
          <w:szCs w:val="22"/>
        </w:rPr>
        <w:t xml:space="preserve">; </w:t>
      </w:r>
      <w:r w:rsidR="002A1C3D" w:rsidRPr="004450B8">
        <w:rPr>
          <w:rFonts w:asciiTheme="minorHAnsi" w:hAnsiTheme="minorHAnsi" w:cstheme="minorHAnsi"/>
          <w:sz w:val="22"/>
          <w:szCs w:val="22"/>
        </w:rPr>
        <w:t>prostate</w:t>
      </w:r>
      <w:r>
        <w:rPr>
          <w:rFonts w:asciiTheme="minorHAnsi" w:hAnsiTheme="minorHAnsi" w:cstheme="minorHAnsi"/>
          <w:sz w:val="22"/>
          <w:szCs w:val="22"/>
        </w:rPr>
        <w:t>-</w:t>
      </w:r>
      <w:r w:rsidR="002A1C3D" w:rsidRPr="004450B8">
        <w:rPr>
          <w:rFonts w:asciiTheme="minorHAnsi" w:hAnsiTheme="minorHAnsi" w:cstheme="minorHAnsi"/>
          <w:sz w:val="22"/>
          <w:szCs w:val="22"/>
        </w:rPr>
        <w:t>specific antigen (PSA) at diagnosis</w:t>
      </w:r>
      <w:r w:rsidR="001E6143" w:rsidRPr="004450B8">
        <w:rPr>
          <w:rFonts w:asciiTheme="minorHAnsi" w:hAnsiTheme="minorHAnsi" w:cstheme="minorHAnsi"/>
          <w:sz w:val="22"/>
          <w:szCs w:val="22"/>
        </w:rPr>
        <w:t xml:space="preserve">; </w:t>
      </w:r>
      <w:r w:rsidR="00CB601A">
        <w:rPr>
          <w:rFonts w:asciiTheme="minorHAnsi" w:hAnsiTheme="minorHAnsi" w:cstheme="minorHAnsi"/>
          <w:sz w:val="22"/>
          <w:szCs w:val="22"/>
        </w:rPr>
        <w:t xml:space="preserve">whether </w:t>
      </w:r>
      <w:r w:rsidR="001E6143" w:rsidRPr="004450B8">
        <w:rPr>
          <w:rFonts w:asciiTheme="minorHAnsi" w:hAnsiTheme="minorHAnsi" w:cstheme="minorHAnsi"/>
          <w:sz w:val="22"/>
          <w:szCs w:val="22"/>
        </w:rPr>
        <w:t>n</w:t>
      </w:r>
      <w:r w:rsidR="00951AFB" w:rsidRPr="004450B8">
        <w:rPr>
          <w:rFonts w:asciiTheme="minorHAnsi" w:hAnsiTheme="minorHAnsi" w:cstheme="minorHAnsi"/>
          <w:sz w:val="22"/>
          <w:szCs w:val="22"/>
        </w:rPr>
        <w:t xml:space="preserve">erve </w:t>
      </w:r>
      <w:r w:rsidR="00951AFB" w:rsidRPr="006B6773">
        <w:rPr>
          <w:rFonts w:asciiTheme="minorHAnsi" w:hAnsiTheme="minorHAnsi" w:cstheme="minorHAnsi"/>
          <w:sz w:val="22"/>
          <w:szCs w:val="22"/>
        </w:rPr>
        <w:t>sparing operative technique</w:t>
      </w:r>
      <w:r w:rsidR="00CB601A" w:rsidRPr="006B6773">
        <w:rPr>
          <w:rFonts w:asciiTheme="minorHAnsi" w:hAnsiTheme="minorHAnsi" w:cstheme="minorHAnsi"/>
          <w:sz w:val="22"/>
          <w:szCs w:val="22"/>
        </w:rPr>
        <w:t xml:space="preserve"> was used</w:t>
      </w:r>
      <w:r w:rsidR="002A1C3D" w:rsidRPr="006B6773">
        <w:rPr>
          <w:rFonts w:asciiTheme="minorHAnsi" w:hAnsiTheme="minorHAnsi" w:cstheme="minorHAnsi"/>
          <w:sz w:val="22"/>
          <w:szCs w:val="22"/>
        </w:rPr>
        <w:t xml:space="preserve">; </w:t>
      </w:r>
      <w:r w:rsidR="001E6143" w:rsidRPr="006B6773">
        <w:rPr>
          <w:rFonts w:asciiTheme="minorHAnsi" w:hAnsiTheme="minorHAnsi" w:cstheme="minorHAnsi"/>
          <w:sz w:val="22"/>
          <w:szCs w:val="22"/>
        </w:rPr>
        <w:t>p</w:t>
      </w:r>
      <w:r w:rsidR="00951AFB" w:rsidRPr="006B6773">
        <w:rPr>
          <w:rFonts w:asciiTheme="minorHAnsi" w:hAnsiTheme="minorHAnsi" w:cstheme="minorHAnsi"/>
          <w:sz w:val="22"/>
          <w:szCs w:val="22"/>
        </w:rPr>
        <w:t>re-operative urinary function scores</w:t>
      </w:r>
      <w:r w:rsidR="001E6143" w:rsidRPr="006B6773">
        <w:rPr>
          <w:rFonts w:asciiTheme="minorHAnsi" w:hAnsiTheme="minorHAnsi" w:cstheme="minorHAnsi"/>
          <w:sz w:val="22"/>
          <w:szCs w:val="22"/>
        </w:rPr>
        <w:t>; p</w:t>
      </w:r>
      <w:r w:rsidR="00951AFB" w:rsidRPr="006B6773">
        <w:rPr>
          <w:rFonts w:asciiTheme="minorHAnsi" w:hAnsiTheme="minorHAnsi" w:cstheme="minorHAnsi"/>
          <w:sz w:val="22"/>
          <w:szCs w:val="22"/>
        </w:rPr>
        <w:t>ost-operative urinary function scores</w:t>
      </w:r>
      <w:r w:rsidR="001E6143" w:rsidRPr="006B6773">
        <w:rPr>
          <w:rFonts w:asciiTheme="minorHAnsi" w:hAnsiTheme="minorHAnsi" w:cstheme="minorHAnsi"/>
          <w:sz w:val="22"/>
          <w:szCs w:val="22"/>
        </w:rPr>
        <w:t>; r</w:t>
      </w:r>
      <w:r w:rsidR="00951AFB" w:rsidRPr="006B6773">
        <w:rPr>
          <w:rFonts w:asciiTheme="minorHAnsi" w:hAnsiTheme="minorHAnsi" w:cstheme="minorHAnsi"/>
          <w:sz w:val="22"/>
          <w:szCs w:val="22"/>
        </w:rPr>
        <w:t xml:space="preserve">eported </w:t>
      </w:r>
      <w:r w:rsidR="00423871" w:rsidRPr="006B6773">
        <w:rPr>
          <w:rFonts w:asciiTheme="minorHAnsi" w:hAnsiTheme="minorHAnsi" w:cstheme="minorHAnsi"/>
          <w:sz w:val="22"/>
          <w:szCs w:val="22"/>
        </w:rPr>
        <w:t>MUL</w:t>
      </w:r>
      <w:r w:rsidR="00951AFB" w:rsidRPr="006B6773">
        <w:rPr>
          <w:rFonts w:asciiTheme="minorHAnsi" w:hAnsiTheme="minorHAnsi" w:cstheme="minorHAnsi"/>
          <w:sz w:val="22"/>
          <w:szCs w:val="22"/>
        </w:rPr>
        <w:t xml:space="preserve"> in pre-operative MRI report</w:t>
      </w:r>
      <w:r w:rsidR="001E6143" w:rsidRPr="006B6773">
        <w:rPr>
          <w:rFonts w:asciiTheme="minorHAnsi" w:hAnsiTheme="minorHAnsi" w:cstheme="minorHAnsi"/>
          <w:sz w:val="22"/>
          <w:szCs w:val="22"/>
        </w:rPr>
        <w:t>.</w:t>
      </w:r>
    </w:p>
    <w:p w14:paraId="51DA0B5B" w14:textId="0608AFC3" w:rsidR="00295F5C" w:rsidRPr="006B6773" w:rsidRDefault="00295F5C" w:rsidP="00295F5C">
      <w:pPr>
        <w:spacing w:line="480" w:lineRule="auto"/>
        <w:rPr>
          <w:rFonts w:asciiTheme="minorHAnsi" w:hAnsiTheme="minorHAnsi" w:cstheme="minorHAnsi"/>
          <w:i/>
          <w:sz w:val="22"/>
          <w:szCs w:val="22"/>
          <w:u w:val="single"/>
        </w:rPr>
      </w:pPr>
      <w:r w:rsidRPr="006B6773">
        <w:rPr>
          <w:rFonts w:asciiTheme="minorHAnsi" w:hAnsiTheme="minorHAnsi" w:cstheme="minorHAnsi"/>
          <w:i/>
          <w:sz w:val="22"/>
          <w:szCs w:val="22"/>
          <w:u w:val="single"/>
        </w:rPr>
        <w:t xml:space="preserve">Imaging Procedures </w:t>
      </w:r>
    </w:p>
    <w:p w14:paraId="3F80EBC5" w14:textId="16EB74A8" w:rsidR="006B6773" w:rsidRPr="00260272" w:rsidRDefault="006B6773" w:rsidP="00260272">
      <w:pPr>
        <w:spacing w:line="480" w:lineRule="auto"/>
        <w:ind w:firstLine="720"/>
        <w:rPr>
          <w:rFonts w:asciiTheme="minorHAnsi" w:hAnsiTheme="minorHAnsi" w:cstheme="minorHAnsi"/>
          <w:sz w:val="22"/>
          <w:szCs w:val="22"/>
        </w:rPr>
      </w:pPr>
      <w:r w:rsidRPr="00260272">
        <w:rPr>
          <w:rFonts w:asciiTheme="minorHAnsi" w:hAnsiTheme="minorHAnsi" w:cstheme="minorHAnsi"/>
          <w:sz w:val="22"/>
          <w:szCs w:val="22"/>
        </w:rPr>
        <w:t>All multi-parametric prostate MRIs were performed on a 3T machine (</w:t>
      </w:r>
      <w:proofErr w:type="spellStart"/>
      <w:r w:rsidRPr="00260272">
        <w:rPr>
          <w:rFonts w:asciiTheme="minorHAnsi" w:hAnsiTheme="minorHAnsi" w:cstheme="minorHAnsi"/>
          <w:sz w:val="22"/>
          <w:szCs w:val="22"/>
        </w:rPr>
        <w:t>Ingenia</w:t>
      </w:r>
      <w:proofErr w:type="spellEnd"/>
      <w:r w:rsidRPr="00260272">
        <w:rPr>
          <w:rFonts w:asciiTheme="minorHAnsi" w:hAnsiTheme="minorHAnsi" w:cstheme="minorHAnsi"/>
          <w:sz w:val="22"/>
          <w:szCs w:val="22"/>
        </w:rPr>
        <w:t>, Philips Healthcare, Best, the Netherlands; or Vita, S</w:t>
      </w:r>
      <w:r w:rsidR="007C2A5A">
        <w:rPr>
          <w:rFonts w:asciiTheme="minorHAnsi" w:hAnsiTheme="minorHAnsi" w:cstheme="minorHAnsi"/>
          <w:sz w:val="22"/>
          <w:szCs w:val="22"/>
        </w:rPr>
        <w:t>ie</w:t>
      </w:r>
      <w:r w:rsidRPr="00260272">
        <w:rPr>
          <w:rFonts w:asciiTheme="minorHAnsi" w:hAnsiTheme="minorHAnsi" w:cstheme="minorHAnsi"/>
          <w:sz w:val="22"/>
          <w:szCs w:val="22"/>
        </w:rPr>
        <w:t xml:space="preserve">mens, Munich, Germany) without an endorectal coil. The following sequences were obtained and were within PI-RADS v2 technical specifications: axial wide field-of-view T1-weighted </w:t>
      </w:r>
      <w:proofErr w:type="spellStart"/>
      <w:r w:rsidRPr="00260272">
        <w:rPr>
          <w:rFonts w:asciiTheme="minorHAnsi" w:hAnsiTheme="minorHAnsi" w:cstheme="minorHAnsi"/>
          <w:sz w:val="22"/>
          <w:szCs w:val="22"/>
        </w:rPr>
        <w:t>mDIXON</w:t>
      </w:r>
      <w:proofErr w:type="spellEnd"/>
      <w:r w:rsidRPr="00260272">
        <w:rPr>
          <w:rFonts w:asciiTheme="minorHAnsi" w:hAnsiTheme="minorHAnsi" w:cstheme="minorHAnsi"/>
          <w:sz w:val="22"/>
          <w:szCs w:val="22"/>
        </w:rPr>
        <w:t xml:space="preserve">; axial, coronal, and sagittal small field-of-view 2D T2-weighted turbo spin echo; axial T2-weighted 3D turbo spin echo; axial diffusion-weighted imaging (DWI) at b-values of 0, 50, 1000, and 1600 s/mm2 with apparent diffusion co-efficient (ADC) map; and axial fat-saturated T1-weighted fast field echo obtained pre- and dynamically post-contrast (temporal resolution: 6-7s; </w:t>
      </w:r>
      <w:r w:rsidRPr="00260272">
        <w:rPr>
          <w:rFonts w:asciiTheme="minorHAnsi" w:hAnsiTheme="minorHAnsi" w:cstheme="minorHAnsi"/>
          <w:sz w:val="22"/>
          <w:szCs w:val="22"/>
        </w:rPr>
        <w:lastRenderedPageBreak/>
        <w:t>duration: 2 minutes) following the weight-based (0.1 mmol/kg) intravenous administration (2 mL/sec) of gadoteridol (</w:t>
      </w:r>
      <w:proofErr w:type="spellStart"/>
      <w:r w:rsidRPr="00260272">
        <w:rPr>
          <w:rFonts w:asciiTheme="minorHAnsi" w:hAnsiTheme="minorHAnsi" w:cstheme="minorHAnsi"/>
          <w:sz w:val="22"/>
          <w:szCs w:val="22"/>
        </w:rPr>
        <w:t>ProHance</w:t>
      </w:r>
      <w:proofErr w:type="spellEnd"/>
      <w:r w:rsidRPr="00260272">
        <w:rPr>
          <w:rFonts w:asciiTheme="minorHAnsi" w:hAnsiTheme="minorHAnsi" w:cstheme="minorHAnsi"/>
          <w:sz w:val="22"/>
          <w:szCs w:val="22"/>
        </w:rPr>
        <w:t xml:space="preserve">, Bracco Diagnostics, Monroe Township, NJ) or </w:t>
      </w:r>
      <w:proofErr w:type="spellStart"/>
      <w:r w:rsidRPr="00260272">
        <w:rPr>
          <w:rFonts w:asciiTheme="minorHAnsi" w:hAnsiTheme="minorHAnsi" w:cstheme="minorHAnsi"/>
          <w:sz w:val="22"/>
          <w:szCs w:val="22"/>
        </w:rPr>
        <w:t>gadobenate</w:t>
      </w:r>
      <w:proofErr w:type="spellEnd"/>
      <w:r w:rsidRPr="00260272">
        <w:rPr>
          <w:rFonts w:asciiTheme="minorHAnsi" w:hAnsiTheme="minorHAnsi" w:cstheme="minorHAnsi"/>
          <w:sz w:val="22"/>
          <w:szCs w:val="22"/>
        </w:rPr>
        <w:t xml:space="preserve"> </w:t>
      </w:r>
      <w:proofErr w:type="spellStart"/>
      <w:r w:rsidRPr="00260272">
        <w:rPr>
          <w:rFonts w:asciiTheme="minorHAnsi" w:hAnsiTheme="minorHAnsi" w:cstheme="minorHAnsi"/>
          <w:sz w:val="22"/>
          <w:szCs w:val="22"/>
        </w:rPr>
        <w:t>dimeglumine</w:t>
      </w:r>
      <w:proofErr w:type="spellEnd"/>
      <w:r w:rsidRPr="00260272">
        <w:rPr>
          <w:rFonts w:asciiTheme="minorHAnsi" w:hAnsiTheme="minorHAnsi" w:cstheme="minorHAnsi"/>
          <w:sz w:val="22"/>
          <w:szCs w:val="22"/>
        </w:rPr>
        <w:t xml:space="preserve"> (</w:t>
      </w:r>
      <w:proofErr w:type="spellStart"/>
      <w:r w:rsidRPr="00260272">
        <w:rPr>
          <w:rFonts w:asciiTheme="minorHAnsi" w:hAnsiTheme="minorHAnsi" w:cstheme="minorHAnsi"/>
          <w:sz w:val="22"/>
          <w:szCs w:val="22"/>
        </w:rPr>
        <w:t>MultiHance</w:t>
      </w:r>
      <w:proofErr w:type="spellEnd"/>
      <w:r w:rsidRPr="00260272">
        <w:rPr>
          <w:rFonts w:asciiTheme="minorHAnsi" w:hAnsiTheme="minorHAnsi" w:cstheme="minorHAnsi"/>
          <w:sz w:val="22"/>
          <w:szCs w:val="22"/>
        </w:rPr>
        <w:t xml:space="preserve">, Bracco Diagnostics, Monroe Township, NJ). A variable-channel surface coil was utilized. </w:t>
      </w:r>
    </w:p>
    <w:p w14:paraId="119CFA6D" w14:textId="0A2998E2" w:rsidR="00295F5C" w:rsidRPr="006B6773" w:rsidRDefault="00295F5C" w:rsidP="00295F5C">
      <w:pPr>
        <w:spacing w:line="480" w:lineRule="auto"/>
        <w:rPr>
          <w:rFonts w:asciiTheme="minorHAnsi" w:hAnsiTheme="minorHAnsi" w:cstheme="minorHAnsi"/>
          <w:i/>
          <w:sz w:val="22"/>
          <w:szCs w:val="22"/>
          <w:u w:val="single"/>
        </w:rPr>
      </w:pPr>
      <w:r w:rsidRPr="006B6773">
        <w:rPr>
          <w:rFonts w:asciiTheme="minorHAnsi" w:hAnsiTheme="minorHAnsi" w:cstheme="minorHAnsi"/>
          <w:i/>
          <w:sz w:val="22"/>
          <w:szCs w:val="22"/>
          <w:u w:val="single"/>
        </w:rPr>
        <w:t xml:space="preserve">Continence Evaluation </w:t>
      </w:r>
    </w:p>
    <w:p w14:paraId="7E0B04F4" w14:textId="7D73A248" w:rsidR="008B2B61" w:rsidRDefault="007569CD"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4311BD" w:rsidRPr="001F5CEC">
        <w:rPr>
          <w:rFonts w:asciiTheme="minorHAnsi" w:hAnsiTheme="minorHAnsi" w:cstheme="minorHAnsi"/>
          <w:sz w:val="22"/>
          <w:szCs w:val="22"/>
        </w:rPr>
        <w:t xml:space="preserve">MUSIC-PRO is a statewide electronic database aimed to measure functional status and quality of life of patients who undergo </w:t>
      </w:r>
      <w:r w:rsidR="0036376D">
        <w:rPr>
          <w:rFonts w:asciiTheme="minorHAnsi" w:hAnsiTheme="minorHAnsi" w:cstheme="minorHAnsi"/>
          <w:sz w:val="22"/>
          <w:szCs w:val="22"/>
        </w:rPr>
        <w:t>RP</w:t>
      </w:r>
      <w:r w:rsidR="004311BD" w:rsidRPr="001F5CEC">
        <w:rPr>
          <w:rFonts w:asciiTheme="minorHAnsi" w:hAnsiTheme="minorHAnsi" w:cstheme="minorHAnsi"/>
          <w:sz w:val="22"/>
          <w:szCs w:val="22"/>
        </w:rPr>
        <w:t>. Patient</w:t>
      </w:r>
      <w:r w:rsidR="002A1C3D">
        <w:rPr>
          <w:rFonts w:asciiTheme="minorHAnsi" w:hAnsiTheme="minorHAnsi" w:cstheme="minorHAnsi"/>
          <w:sz w:val="22"/>
          <w:szCs w:val="22"/>
        </w:rPr>
        <w:t xml:space="preserve"> functional outcomes </w:t>
      </w:r>
      <w:r w:rsidR="00967F87">
        <w:rPr>
          <w:rFonts w:asciiTheme="minorHAnsi" w:hAnsiTheme="minorHAnsi" w:cstheme="minorHAnsi"/>
          <w:sz w:val="22"/>
          <w:szCs w:val="22"/>
        </w:rPr>
        <w:t>were</w:t>
      </w:r>
      <w:r w:rsidR="002A1C3D">
        <w:rPr>
          <w:rFonts w:asciiTheme="minorHAnsi" w:hAnsiTheme="minorHAnsi" w:cstheme="minorHAnsi"/>
          <w:sz w:val="22"/>
          <w:szCs w:val="22"/>
        </w:rPr>
        <w:t xml:space="preserve"> measured using the</w:t>
      </w:r>
      <w:r w:rsidR="008B2B61">
        <w:rPr>
          <w:rFonts w:asciiTheme="minorHAnsi" w:hAnsiTheme="minorHAnsi" w:cstheme="minorHAnsi"/>
          <w:sz w:val="22"/>
          <w:szCs w:val="22"/>
        </w:rPr>
        <w:t xml:space="preserve"> 26</w:t>
      </w:r>
      <w:r w:rsidR="006B6773">
        <w:rPr>
          <w:rFonts w:asciiTheme="minorHAnsi" w:hAnsiTheme="minorHAnsi" w:cstheme="minorHAnsi"/>
          <w:sz w:val="22"/>
          <w:szCs w:val="22"/>
        </w:rPr>
        <w:t>-</w:t>
      </w:r>
      <w:r w:rsidR="008B2B61">
        <w:rPr>
          <w:rFonts w:asciiTheme="minorHAnsi" w:hAnsiTheme="minorHAnsi" w:cstheme="minorHAnsi"/>
          <w:sz w:val="22"/>
          <w:szCs w:val="22"/>
        </w:rPr>
        <w:t>question short-</w:t>
      </w:r>
      <w:r w:rsidR="006B6773">
        <w:rPr>
          <w:rFonts w:asciiTheme="minorHAnsi" w:hAnsiTheme="minorHAnsi" w:cstheme="minorHAnsi"/>
          <w:sz w:val="22"/>
          <w:szCs w:val="22"/>
        </w:rPr>
        <w:t xml:space="preserve">form </w:t>
      </w:r>
      <w:r w:rsidR="002A1C3D">
        <w:rPr>
          <w:rFonts w:asciiTheme="minorHAnsi" w:hAnsiTheme="minorHAnsi" w:cstheme="minorHAnsi"/>
          <w:sz w:val="22"/>
          <w:szCs w:val="22"/>
        </w:rPr>
        <w:t xml:space="preserve">Expanded Prostate Cancer Index Composite </w:t>
      </w:r>
      <w:r w:rsidR="008B2B61">
        <w:rPr>
          <w:rFonts w:asciiTheme="minorHAnsi" w:hAnsiTheme="minorHAnsi" w:cstheme="minorHAnsi"/>
          <w:sz w:val="22"/>
          <w:szCs w:val="22"/>
        </w:rPr>
        <w:t xml:space="preserve">survey (EPIC-26) </w:t>
      </w:r>
      <w:r w:rsidR="004311BD" w:rsidRPr="001F5CEC">
        <w:rPr>
          <w:rFonts w:asciiTheme="minorHAnsi" w:hAnsiTheme="minorHAnsi" w:cstheme="minorHAnsi"/>
          <w:sz w:val="22"/>
          <w:szCs w:val="22"/>
        </w:rPr>
        <w:t>prior to</w:t>
      </w:r>
      <w:r w:rsidR="006B6773">
        <w:rPr>
          <w:rFonts w:asciiTheme="minorHAnsi" w:hAnsiTheme="minorHAnsi" w:cstheme="minorHAnsi"/>
          <w:sz w:val="22"/>
          <w:szCs w:val="22"/>
        </w:rPr>
        <w:t xml:space="preserve"> RP</w:t>
      </w:r>
      <w:r w:rsidR="004311BD" w:rsidRPr="001F5CEC">
        <w:rPr>
          <w:rFonts w:asciiTheme="minorHAnsi" w:hAnsiTheme="minorHAnsi" w:cstheme="minorHAnsi"/>
          <w:sz w:val="22"/>
          <w:szCs w:val="22"/>
        </w:rPr>
        <w:t xml:space="preserve"> and at 3-, 6-, 12-, and 24-months </w:t>
      </w:r>
      <w:r w:rsidR="008B2B61">
        <w:rPr>
          <w:rFonts w:asciiTheme="minorHAnsi" w:hAnsiTheme="minorHAnsi" w:cstheme="minorHAnsi"/>
          <w:sz w:val="22"/>
          <w:szCs w:val="22"/>
        </w:rPr>
        <w:t xml:space="preserve">after </w:t>
      </w:r>
      <w:r w:rsidR="006B6773">
        <w:rPr>
          <w:rFonts w:asciiTheme="minorHAnsi" w:hAnsiTheme="minorHAnsi" w:cstheme="minorHAnsi"/>
          <w:sz w:val="22"/>
          <w:szCs w:val="22"/>
        </w:rPr>
        <w:t>RP</w:t>
      </w:r>
      <w:r w:rsidR="00E3399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{"citationItems":[{"id":"ITEM-1","itemData":{"URL":"https://musicurology.com/pro/","accessed":{"date-parts":[["2020","5","26"]]},"author":[{"dropping-particle":"","family":"Michigan Urological Surgery Improvement Collaborative","given":"","non-dropping-particle":"","parse-names":false,"suffix":""}],"id":"ITEM-1","issued":{"date-parts":[["0"]]},"title":"Michigan Urological Surgery Improvement Collaborative (MUSIC) Patient Questionnaire","type":"webpage"},"uris":["http://www.mendeley.com/documents/?uuid=165653a0-b0ae-4f14-87af-0a7406041f82"]},{"id":"ITEM-2","itemData":{"DOI":"10.1016/S0090-4295(00)00858-X","ISSN":"00904295","PMID":"11113727","abstract":"Objectives. Health-related quality of life (HRQOL) is an increasingly important endpoint in prostate cancer care. However, pivotal issues that are not fully assessed in existing HRQOL instruments include irritative urinary symptoms, hormonal symptoms, and multi-item scores quantifying bother between urinary, sexual, bowel, and hormonal domains. We sought to develop a novel instrument to facilitate more comprehensive assessment of prostate cancer-related HRQOL. Methods. Instrument development was based on advice from an expert panel and prostate cancer patients, which led to expanding the 20-item University of California-Los Angeles Prostate Cancer Index (UCLA-PCI) to the 50-item Expanded Prostate Index Composite (EPIC). Summary and subscale scores were derived by content and factor analyses. Reliability and validity were assessed by test-retest correlation, Cronbach's alpha coefficient, interscale correlation, and EPIC correlation with other validated instruments. Results. Test-retest reliability and internal consistency were high for EPIC urinary, bowel, sexual, and hormonal domain summary scores (each r ≥0.80 and Cronbach's alpha ≥0.82) and for most domain-specific subscales. Correlations between function and bother subscales within domains were high (r &gt;0.60). Correlations between different primary domains were consistently lower, indicating that these domains assess distinct HRQOL components. EPIC domains had weak to modest correlations with the Medical Outcomes Study 12-item Short-Form Health Survey (SF-12), indicating rationale for their concurrent use. Moderate agreement was observed between EPIC domains relevant to the Functional Assessment of Cancer Therapy Prostate module (FACT-P) and the American Urological Association Symptom Index (AUA-SI), providing criterion validity without excessive overlap. Conclusions. EPIC is a robust prostate cancer HRQOL instrument that complements prior instruments by measuring a broad spectrum of urinary, bowel, sexual, and hormonal symptoms, thereby providing a unique tool for comprehensive assessment of HRQOL issues important in contemporary prostate cancer management. (C) 2000, Elsevier Science Inc.","author":[{"dropping-particle":"","family":"Wei","given":"John T.","non-dropping-particle":"","parse-names":false,"suffix":""},{"dropping-particle":"","family":"Dunn","given":"Rodney L.","non-dropping-particle":"","parse-names":false,"suffix":""},{"dropping-particle":"","family":"Litwin","given":"Mark S.","non-dropping-particle":"","parse-names":false,"suffix":""},{"dropping-particle":"","family":"Sandler","given":"Howard M.","non-dropping-particle":"","parse-names":false,"suffix":""},{"dropping-particle":"","family":"Sanda","given":"Martin G.","non-dropping-particle":"","parse-names":false,"suffix":""}],"container-title":"Urology","id":"ITEM-2","issue":"6","issued":{"date-parts":[["2000"]]},"page":"899-905","publisher":"Urology","title":"Development and validation of the Expanded Prostate Cancer Index Composite (EPIC) for comprehensive assessment of health-related quality of life in men with prostate cancer","type":"article-journal","volume":"56"},"uris":["http://www.mendeley.com/documents/?uuid=b56e84b1-18d4-334f-9075-9edb2b6b6c79"]},{"id":"ITEM-3","itemData":{"URL":"https://medicine.umich.edu/sites/default/files/content/downloads/EPIC-SF-6.2002_0.pdf","accessed":{"date-parts":[["2021","1","22"]]},"id":"ITEM-3","issued":{"date-parts":[["0"]]},"title":"EPIC-26 Short Form","type":"webpage"},"uris":["http://www.mendeley.com/documents/?uuid=871a1f4b-fb0e-30a6-8f2e-b6c3e67f0901"]}],"mendeley":{"formattedCitation":"&lt;sup&gt;29–31&lt;/sup&gt;","plainTextFormattedCitation":"29–31","previouslyFormattedCitation":"&lt;sup&gt;29–31&lt;/sup&gt;"},"properties":{"noteIndex":0},"schema":"https://github.com/citation-style-language/schema/raw/master/csl-citation.json"}</w:instrText>
      </w:r>
      <w:r w:rsidR="00E3399A">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29–31</w:t>
      </w:r>
      <w:r w:rsidR="00E3399A">
        <w:rPr>
          <w:rFonts w:asciiTheme="minorHAnsi" w:hAnsiTheme="minorHAnsi" w:cstheme="minorHAnsi"/>
          <w:sz w:val="22"/>
          <w:szCs w:val="22"/>
        </w:rPr>
        <w:fldChar w:fldCharType="end"/>
      </w:r>
      <w:r w:rsidR="00200070" w:rsidRPr="001F5CEC">
        <w:rPr>
          <w:rFonts w:asciiTheme="minorHAnsi" w:hAnsiTheme="minorHAnsi" w:cstheme="minorHAnsi"/>
          <w:sz w:val="22"/>
          <w:szCs w:val="22"/>
        </w:rPr>
        <w:t xml:space="preserve">. The </w:t>
      </w:r>
      <w:r w:rsidR="00CE3610">
        <w:rPr>
          <w:rFonts w:asciiTheme="minorHAnsi" w:hAnsiTheme="minorHAnsi" w:cstheme="minorHAnsi"/>
          <w:sz w:val="22"/>
          <w:szCs w:val="22"/>
        </w:rPr>
        <w:t>survey</w:t>
      </w:r>
      <w:r w:rsidR="00200070" w:rsidRPr="001F5CEC">
        <w:rPr>
          <w:rFonts w:asciiTheme="minorHAnsi" w:hAnsiTheme="minorHAnsi" w:cstheme="minorHAnsi"/>
          <w:sz w:val="22"/>
          <w:szCs w:val="22"/>
        </w:rPr>
        <w:t xml:space="preserve"> includes questions regarding continence, urinary symptoms, and sexual function</w:t>
      </w:r>
      <w:r w:rsidR="00CE3610">
        <w:rPr>
          <w:rFonts w:asciiTheme="minorHAnsi" w:hAnsiTheme="minorHAnsi" w:cstheme="minorHAnsi"/>
          <w:sz w:val="22"/>
          <w:szCs w:val="22"/>
        </w:rPr>
        <w:t>. EPIC-26</w:t>
      </w:r>
      <w:r w:rsidR="007C2A5A">
        <w:rPr>
          <w:rFonts w:asciiTheme="minorHAnsi" w:hAnsiTheme="minorHAnsi" w:cstheme="minorHAnsi"/>
          <w:sz w:val="22"/>
          <w:szCs w:val="22"/>
        </w:rPr>
        <w:t xml:space="preserve"> domain</w:t>
      </w:r>
      <w:r w:rsidR="00CE3610">
        <w:rPr>
          <w:rFonts w:asciiTheme="minorHAnsi" w:hAnsiTheme="minorHAnsi" w:cstheme="minorHAnsi"/>
          <w:sz w:val="22"/>
          <w:szCs w:val="22"/>
        </w:rPr>
        <w:t xml:space="preserve"> scores range from 0-100 with higher scores representing better health-related quality of life</w:t>
      </w:r>
      <w:r w:rsidR="00AE1FE9">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{"citationItems":[{"id":"ITEM-1","itemData":{"author":[{"dropping-particle":"","family":"Sanda M, Wei J, Litwin M","given":"Dunn R","non-dropping-particle":"","parse-names":false,"suffix":""}],"id":"ITEM-1","issued":{"date-parts":[["2002"]]},"title":"Scoring Instructions for the Expanded Prostate cancer Index Composite Short Form (EPIC-26)","type":"webpage"},"uris":["http://www.mendeley.com/documents/?uuid=53d07750-0dcd-4394-9565-90342ff8d1a7"]}],"mendeley":{"formattedCitation":"&lt;sup&gt;32&lt;/sup&gt;","plainTextFormattedCitation":"32","previouslyFormattedCitation":"&lt;sup&gt;32&lt;/sup&gt;"},"properties":{"noteIndex":0},"schema":"https://github.com/citation-style-language/schema/raw/master/csl-citation.json"}</w:instrText>
      </w:r>
      <w:r w:rsidR="00AE1FE9">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32</w:t>
      </w:r>
      <w:r w:rsidR="00AE1FE9">
        <w:rPr>
          <w:rFonts w:asciiTheme="minorHAnsi" w:hAnsiTheme="minorHAnsi" w:cstheme="minorHAnsi"/>
          <w:sz w:val="22"/>
          <w:szCs w:val="22"/>
        </w:rPr>
        <w:fldChar w:fldCharType="end"/>
      </w:r>
      <w:r w:rsidR="00CE3610">
        <w:rPr>
          <w:rFonts w:asciiTheme="minorHAnsi" w:hAnsiTheme="minorHAnsi" w:cstheme="minorHAnsi"/>
          <w:sz w:val="22"/>
          <w:szCs w:val="22"/>
        </w:rPr>
        <w:t xml:space="preserve">. </w:t>
      </w:r>
      <w:r w:rsidR="00183059">
        <w:rPr>
          <w:rFonts w:asciiTheme="minorHAnsi" w:hAnsiTheme="minorHAnsi" w:cstheme="minorHAnsi"/>
          <w:sz w:val="22"/>
          <w:szCs w:val="22"/>
        </w:rPr>
        <w:t xml:space="preserve">Pre-RP EPIC-26 </w:t>
      </w:r>
      <w:r w:rsidR="007C2A5A">
        <w:rPr>
          <w:rFonts w:asciiTheme="minorHAnsi" w:hAnsiTheme="minorHAnsi" w:cstheme="minorHAnsi"/>
          <w:sz w:val="22"/>
          <w:szCs w:val="22"/>
        </w:rPr>
        <w:t xml:space="preserve">domain </w:t>
      </w:r>
      <w:r w:rsidR="00183059">
        <w:rPr>
          <w:rFonts w:asciiTheme="minorHAnsi" w:hAnsiTheme="minorHAnsi" w:cstheme="minorHAnsi"/>
          <w:sz w:val="22"/>
          <w:szCs w:val="22"/>
        </w:rPr>
        <w:t>scores—representing baseline urinary and sexual function—were used as clinical predictor variables in the regression models. Patient use of</w:t>
      </w:r>
      <w:r w:rsidR="00AF3283">
        <w:rPr>
          <w:rFonts w:asciiTheme="minorHAnsi" w:hAnsiTheme="minorHAnsi" w:cstheme="minorHAnsi"/>
          <w:sz w:val="22"/>
          <w:szCs w:val="22"/>
        </w:rPr>
        <w:t xml:space="preserve"> adult diapers or</w:t>
      </w:r>
      <w:r w:rsidR="00183059">
        <w:rPr>
          <w:rFonts w:asciiTheme="minorHAnsi" w:hAnsiTheme="minorHAnsi" w:cstheme="minorHAnsi"/>
          <w:sz w:val="22"/>
          <w:szCs w:val="22"/>
        </w:rPr>
        <w:t xml:space="preserve"> </w:t>
      </w:r>
      <w:r w:rsidR="00AF3283">
        <w:rPr>
          <w:rFonts w:asciiTheme="minorHAnsi" w:hAnsiTheme="minorHAnsi" w:cstheme="minorHAnsi"/>
          <w:sz w:val="22"/>
          <w:szCs w:val="22"/>
        </w:rPr>
        <w:t xml:space="preserve">more than one </w:t>
      </w:r>
      <w:r w:rsidR="00183059">
        <w:rPr>
          <w:rFonts w:asciiTheme="minorHAnsi" w:hAnsiTheme="minorHAnsi" w:cstheme="minorHAnsi"/>
          <w:sz w:val="22"/>
          <w:szCs w:val="22"/>
        </w:rPr>
        <w:t>urinary pad</w:t>
      </w:r>
      <w:r w:rsidR="00AF3283">
        <w:rPr>
          <w:rFonts w:asciiTheme="minorHAnsi" w:hAnsiTheme="minorHAnsi" w:cstheme="minorHAnsi"/>
          <w:sz w:val="22"/>
          <w:szCs w:val="22"/>
        </w:rPr>
        <w:t xml:space="preserve"> per day</w:t>
      </w:r>
      <w:r w:rsidR="00183059">
        <w:rPr>
          <w:rFonts w:asciiTheme="minorHAnsi" w:hAnsiTheme="minorHAnsi" w:cstheme="minorHAnsi"/>
          <w:sz w:val="22"/>
          <w:szCs w:val="22"/>
        </w:rPr>
        <w:t xml:space="preserve"> </w:t>
      </w:r>
      <w:r w:rsidR="00AF3283">
        <w:rPr>
          <w:rFonts w:asciiTheme="minorHAnsi" w:hAnsiTheme="minorHAnsi" w:cstheme="minorHAnsi"/>
          <w:sz w:val="22"/>
          <w:szCs w:val="22"/>
        </w:rPr>
        <w:t>was</w:t>
      </w:r>
      <w:r w:rsidR="00183059">
        <w:rPr>
          <w:rFonts w:asciiTheme="minorHAnsi" w:hAnsiTheme="minorHAnsi" w:cstheme="minorHAnsi"/>
          <w:sz w:val="22"/>
          <w:szCs w:val="22"/>
        </w:rPr>
        <w:t xml:space="preserve"> used to define incontinence.</w:t>
      </w:r>
      <w:r w:rsidR="00657717">
        <w:rPr>
          <w:rFonts w:asciiTheme="minorHAnsi" w:hAnsiTheme="minorHAnsi" w:cstheme="minorHAnsi"/>
          <w:sz w:val="22"/>
          <w:szCs w:val="22"/>
        </w:rPr>
        <w:t xml:space="preserve"> </w:t>
      </w:r>
      <w:r w:rsidR="00AF3283">
        <w:rPr>
          <w:rFonts w:asciiTheme="minorHAnsi" w:hAnsiTheme="minorHAnsi" w:cstheme="minorHAnsi"/>
          <w:sz w:val="22"/>
          <w:szCs w:val="22"/>
        </w:rPr>
        <w:t>For patients participating in MUSIC-PRO prior to 2016, their baseline EPIC-26 urinary continence domain score was calculated using a previously published crosswalk</w:t>
      </w:r>
      <w:r w:rsidR="00AF3283">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{"citationItems":[{"id":"ITEM-1","itemData":{"DOI":"10.1016/j.eururo.2018.12.002","ISSN":"18737560","PMID":"30573317","abstract":"Background: Patient-reported outcome measures (PROMs) have become widely adopted in the care of patients with prostate cancer, but there is no validated crosswalk between two commonly used instruments, the Expanded Prostate Cancer Index Composite Short Form (EPIC-26) and the Memorial Sloan Kettering (MSK) instrument, which consists of the International Index of Erectile Function-6 (IIEF-6) questionnaire and the MSK radical prostatectomy urinary outcome scale. Objective: To develop and validate bidirectional crosswalks between the sexual and urinary domains (single domain in MSK, separate incontinence and irritative/obstructive domains in EPIC-26) of the MSK and EPIC-26 instruments. Design, setting, and participants: Radical prostatectomy (RP) patients completing instruments at MSK and Michigan Urological Surgery Improvement Collaborative (MUSIC) between January and May of 2017 were invited to enroll. Stratified random sampling (by institution, MSK urinary function score, and MSK erectile function score) was used to divide patient data into training and test sets. Models were developed to predict the domain score for each instrument using the other's item responses and domain scores. Performance was evaluated using capped root-mean-squared error and accuracy at established thresholds. Results and limitations: We received 517 instruments at MSK and 1033 within MUSIC, which were assigned to training (825), post-RP test (412), and pre-RP test (313) sets. We found the crosswalks to have low error and high accuracy. Although the crosswalks are more accurate if responses to each item are known, it is possible to convert between instruments on the basis of a total domain score. Conclusions: The crosswalks are a valid way to convert between sexual and urinary domains of the MSK and EPIC-26 instruments. Patient summary: We developed and validated a set of formulas that allow conversion of sexual and urinary function scores between the Memorial Sloan Kettering and Expanded Prostate Cancer Index Composite Short Form patient-reported outcome questionnaires. These crosswalks allow seamless transition between the two questionnaires.","author":[{"dropping-particle":"","family":"Singh","given":"Karandeep","non-dropping-particle":"","parse-names":false,"suffix":""},{"dropping-particle":"","family":"Tin","given":"Amy L.","non-dropping-particle":"","parse-names":false,"suffix":""},{"dropping-particle":"","family":"Dunn","given":"Rodney L.","non-dropping-particle":"","parse-names":false,"suffix":""},{"dropping-particle":"","family":"Kim","given":"Tae","non-dropping-particle":"","parse-names":false,"suffix":""},{"dropping-particle":"","family":"Vickers","given":"Andrew J.","non-dropping-particle":"","parse-names":false,"suffix":""}],"container-title":"European Urology","id":"ITEM-1","issue":"5","issued":{"date-parts":[["2019","5","1"]]},"page":"723-730","publisher":"Elsevier B.V.","title":"Development and Validation of Crosswalks for Patient-reported Sexual and Urinary Outcomes Between Commonly Used Instruments","type":"article-journal","volume":"75"},"uris":["http://www.mendeley.com/documents/?uuid=3c02aa45-5697-370b-9c6f-1cc76041a239"]}],"mendeley":{"formattedCitation":"&lt;sup&gt;33&lt;/sup&gt;","plainTextFormattedCitation":"33","previouslyFormattedCitation":"&lt;sup&gt;28&lt;/sup&gt;"},"properties":{"noteIndex":0},"schema":"https://github.com/citation-style-language/schema/raw/master/csl-citation.json"}</w:instrText>
      </w:r>
      <w:r w:rsidR="00AF3283">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33</w:t>
      </w:r>
      <w:r w:rsidR="00AF3283">
        <w:rPr>
          <w:rFonts w:asciiTheme="minorHAnsi" w:hAnsiTheme="minorHAnsi" w:cstheme="minorHAnsi"/>
          <w:sz w:val="22"/>
          <w:szCs w:val="22"/>
        </w:rPr>
        <w:fldChar w:fldCharType="end"/>
      </w:r>
      <w:r w:rsidR="00AF3283">
        <w:rPr>
          <w:rFonts w:asciiTheme="minorHAnsi" w:hAnsiTheme="minorHAnsi" w:cstheme="minorHAnsi"/>
          <w:sz w:val="22"/>
          <w:szCs w:val="22"/>
        </w:rPr>
        <w:t xml:space="preserve">. </w:t>
      </w:r>
    </w:p>
    <w:p w14:paraId="45610C40" w14:textId="7B7C4385" w:rsidR="007569CD" w:rsidRPr="001F5CEC" w:rsidRDefault="007569CD" w:rsidP="00295F5C">
      <w:pPr>
        <w:spacing w:line="480" w:lineRule="auto"/>
        <w:rPr>
          <w:rFonts w:asciiTheme="minorHAnsi" w:hAnsiTheme="minorHAnsi" w:cstheme="minorHAnsi"/>
          <w:i/>
          <w:sz w:val="22"/>
          <w:szCs w:val="22"/>
          <w:u w:val="single"/>
        </w:rPr>
      </w:pPr>
      <w:r w:rsidRPr="001F5CEC">
        <w:rPr>
          <w:rFonts w:asciiTheme="minorHAnsi" w:hAnsiTheme="minorHAnsi" w:cstheme="minorHAnsi"/>
          <w:i/>
          <w:sz w:val="22"/>
          <w:szCs w:val="22"/>
          <w:u w:val="single"/>
        </w:rPr>
        <w:t xml:space="preserve">Image Analysis </w:t>
      </w:r>
    </w:p>
    <w:p w14:paraId="3C2C58A3" w14:textId="416720D7" w:rsidR="00F9094C" w:rsidRDefault="00423871"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6B6773">
        <w:rPr>
          <w:rFonts w:asciiTheme="minorHAnsi" w:hAnsiTheme="minorHAnsi" w:cstheme="minorHAnsi"/>
          <w:sz w:val="22"/>
          <w:szCs w:val="22"/>
        </w:rPr>
        <w:t xml:space="preserve">Coronal </w:t>
      </w:r>
      <w:r w:rsidRPr="001F5CEC">
        <w:rPr>
          <w:rFonts w:asciiTheme="minorHAnsi" w:hAnsiTheme="minorHAnsi" w:cstheme="minorHAnsi"/>
          <w:sz w:val="22"/>
          <w:szCs w:val="22"/>
        </w:rPr>
        <w:t xml:space="preserve">MUL </w:t>
      </w:r>
      <w:r w:rsidR="00F9094C">
        <w:rPr>
          <w:rFonts w:asciiTheme="minorHAnsi" w:hAnsiTheme="minorHAnsi" w:cstheme="minorHAnsi"/>
          <w:sz w:val="22"/>
          <w:szCs w:val="22"/>
        </w:rPr>
        <w:t>and prostate volume were</w:t>
      </w:r>
      <w:r w:rsidR="00F9094C" w:rsidRPr="001F5CEC">
        <w:rPr>
          <w:rFonts w:asciiTheme="minorHAnsi" w:hAnsiTheme="minorHAnsi" w:cstheme="minorHAnsi"/>
          <w:sz w:val="22"/>
          <w:szCs w:val="22"/>
        </w:rPr>
        <w:t xml:space="preserve"> </w:t>
      </w:r>
      <w:r w:rsidRPr="001F5CEC">
        <w:rPr>
          <w:rFonts w:asciiTheme="minorHAnsi" w:hAnsiTheme="minorHAnsi" w:cstheme="minorHAnsi"/>
          <w:sz w:val="22"/>
          <w:szCs w:val="22"/>
        </w:rPr>
        <w:t>prospectively recorded in a structured report as part of routine clinical care.</w:t>
      </w:r>
      <w:r w:rsidR="000D17B1" w:rsidRPr="001F5CEC">
        <w:rPr>
          <w:rFonts w:asciiTheme="minorHAnsi" w:hAnsiTheme="minorHAnsi" w:cstheme="minorHAnsi"/>
          <w:sz w:val="22"/>
          <w:szCs w:val="22"/>
        </w:rPr>
        <w:t xml:space="preserve"> </w:t>
      </w:r>
      <w:r w:rsidR="006B6773">
        <w:rPr>
          <w:rFonts w:asciiTheme="minorHAnsi" w:hAnsiTheme="minorHAnsi" w:cstheme="minorHAnsi"/>
          <w:sz w:val="22"/>
          <w:szCs w:val="22"/>
        </w:rPr>
        <w:t>In addition, c</w:t>
      </w:r>
      <w:r w:rsidR="00961361">
        <w:rPr>
          <w:rFonts w:asciiTheme="minorHAnsi" w:hAnsiTheme="minorHAnsi" w:cstheme="minorHAnsi"/>
          <w:sz w:val="22"/>
          <w:szCs w:val="22"/>
        </w:rPr>
        <w:t xml:space="preserve">oronal and sagittal </w:t>
      </w:r>
      <w:r w:rsidR="000D17B1" w:rsidRPr="001F5CEC">
        <w:rPr>
          <w:rFonts w:asciiTheme="minorHAnsi" w:hAnsiTheme="minorHAnsi" w:cstheme="minorHAnsi"/>
          <w:sz w:val="22"/>
          <w:szCs w:val="22"/>
        </w:rPr>
        <w:t>MUL</w:t>
      </w:r>
      <w:r w:rsidR="0057077F">
        <w:rPr>
          <w:rFonts w:asciiTheme="minorHAnsi" w:hAnsiTheme="minorHAnsi" w:cstheme="minorHAnsi"/>
          <w:sz w:val="22"/>
          <w:szCs w:val="22"/>
        </w:rPr>
        <w:t>,</w:t>
      </w:r>
      <w:r w:rsidR="000D17B1" w:rsidRPr="001F5CEC">
        <w:rPr>
          <w:rFonts w:asciiTheme="minorHAnsi" w:hAnsiTheme="minorHAnsi" w:cstheme="minorHAnsi"/>
          <w:sz w:val="22"/>
          <w:szCs w:val="22"/>
        </w:rPr>
        <w:t xml:space="preserve"> </w:t>
      </w:r>
      <w:r w:rsidR="00B011AF" w:rsidRPr="001F5CEC">
        <w:rPr>
          <w:rFonts w:asciiTheme="minorHAnsi" w:hAnsiTheme="minorHAnsi" w:cstheme="minorHAnsi"/>
          <w:sz w:val="22"/>
          <w:szCs w:val="22"/>
        </w:rPr>
        <w:t xml:space="preserve">inner and outer </w:t>
      </w:r>
      <w:r w:rsidR="00F9094C">
        <w:rPr>
          <w:rFonts w:asciiTheme="minorHAnsi" w:hAnsiTheme="minorHAnsi" w:cstheme="minorHAnsi"/>
          <w:sz w:val="22"/>
          <w:szCs w:val="22"/>
        </w:rPr>
        <w:t>levator distance</w:t>
      </w:r>
      <w:r w:rsidR="00B011AF" w:rsidRPr="001F5CEC">
        <w:rPr>
          <w:rFonts w:asciiTheme="minorHAnsi" w:hAnsiTheme="minorHAnsi" w:cstheme="minorHAnsi"/>
          <w:sz w:val="22"/>
          <w:szCs w:val="22"/>
        </w:rPr>
        <w:t xml:space="preserve">, </w:t>
      </w:r>
      <w:proofErr w:type="spellStart"/>
      <w:r w:rsidR="0057077F">
        <w:rPr>
          <w:rFonts w:asciiTheme="minorHAnsi" w:hAnsiTheme="minorHAnsi" w:cstheme="minorHAnsi"/>
          <w:sz w:val="22"/>
          <w:szCs w:val="22"/>
        </w:rPr>
        <w:t>aMUP</w:t>
      </w:r>
      <w:proofErr w:type="spellEnd"/>
      <w:r w:rsidR="000D17B1" w:rsidRPr="001F5CEC">
        <w:rPr>
          <w:rFonts w:asciiTheme="minorHAnsi" w:hAnsiTheme="minorHAnsi" w:cstheme="minorHAnsi"/>
          <w:sz w:val="22"/>
          <w:szCs w:val="22"/>
        </w:rPr>
        <w:t xml:space="preserve">, and the </w:t>
      </w:r>
      <w:proofErr w:type="spellStart"/>
      <w:r w:rsidR="0057077F">
        <w:rPr>
          <w:rFonts w:asciiTheme="minorHAnsi" w:hAnsiTheme="minorHAnsi" w:cstheme="minorHAnsi"/>
          <w:sz w:val="22"/>
          <w:szCs w:val="22"/>
        </w:rPr>
        <w:t>pubourethral</w:t>
      </w:r>
      <w:proofErr w:type="spellEnd"/>
      <w:r w:rsidR="0057077F">
        <w:rPr>
          <w:rFonts w:asciiTheme="minorHAnsi" w:hAnsiTheme="minorHAnsi" w:cstheme="minorHAnsi"/>
          <w:sz w:val="22"/>
          <w:szCs w:val="22"/>
        </w:rPr>
        <w:t xml:space="preserve"> angle</w:t>
      </w:r>
      <w:r w:rsidR="000D17B1" w:rsidRPr="001F5CEC">
        <w:rPr>
          <w:rFonts w:asciiTheme="minorHAnsi" w:hAnsiTheme="minorHAnsi" w:cstheme="minorHAnsi"/>
          <w:sz w:val="22"/>
          <w:szCs w:val="22"/>
        </w:rPr>
        <w:t xml:space="preserve"> were obtained retrospectively from the same MR study as the </w:t>
      </w:r>
      <w:r w:rsidR="0057077F">
        <w:rPr>
          <w:rFonts w:asciiTheme="minorHAnsi" w:hAnsiTheme="minorHAnsi" w:cstheme="minorHAnsi"/>
          <w:sz w:val="22"/>
          <w:szCs w:val="22"/>
        </w:rPr>
        <w:t>prospectively obtained MUL</w:t>
      </w:r>
      <w:r w:rsidR="00AC065B">
        <w:rPr>
          <w:rFonts w:asciiTheme="minorHAnsi" w:hAnsiTheme="minorHAnsi" w:cstheme="minorHAnsi"/>
          <w:sz w:val="22"/>
          <w:szCs w:val="22"/>
        </w:rPr>
        <w:t xml:space="preserve"> (Figures 1 &amp; 2)</w:t>
      </w:r>
      <w:r w:rsidR="000D17B1" w:rsidRPr="001F5CEC">
        <w:rPr>
          <w:rFonts w:asciiTheme="minorHAnsi" w:hAnsiTheme="minorHAnsi" w:cstheme="minorHAnsi"/>
          <w:sz w:val="22"/>
          <w:szCs w:val="22"/>
        </w:rPr>
        <w:t>. The</w:t>
      </w:r>
      <w:r w:rsidR="006B6773">
        <w:rPr>
          <w:rFonts w:asciiTheme="minorHAnsi" w:hAnsiTheme="minorHAnsi" w:cstheme="minorHAnsi"/>
          <w:sz w:val="22"/>
          <w:szCs w:val="22"/>
        </w:rPr>
        <w:t xml:space="preserve"> retrospective</w:t>
      </w:r>
      <w:r w:rsidR="000D17B1" w:rsidRPr="001F5CEC">
        <w:rPr>
          <w:rFonts w:asciiTheme="minorHAnsi" w:hAnsiTheme="minorHAnsi" w:cstheme="minorHAnsi"/>
          <w:sz w:val="22"/>
          <w:szCs w:val="22"/>
        </w:rPr>
        <w:t xml:space="preserve"> </w:t>
      </w:r>
      <w:r w:rsidR="006B6773">
        <w:rPr>
          <w:rFonts w:asciiTheme="minorHAnsi" w:hAnsiTheme="minorHAnsi" w:cstheme="minorHAnsi"/>
          <w:sz w:val="22"/>
          <w:szCs w:val="22"/>
        </w:rPr>
        <w:t>measurements were made</w:t>
      </w:r>
      <w:r w:rsidR="000D17B1" w:rsidRPr="001F5CEC">
        <w:rPr>
          <w:rFonts w:asciiTheme="minorHAnsi" w:hAnsiTheme="minorHAnsi" w:cstheme="minorHAnsi"/>
          <w:sz w:val="22"/>
          <w:szCs w:val="22"/>
        </w:rPr>
        <w:t xml:space="preserve"> </w:t>
      </w:r>
      <w:r w:rsidR="006B6773" w:rsidRPr="001F5CEC">
        <w:rPr>
          <w:rFonts w:asciiTheme="minorHAnsi" w:hAnsiTheme="minorHAnsi" w:cstheme="minorHAnsi"/>
          <w:sz w:val="22"/>
          <w:szCs w:val="22"/>
        </w:rPr>
        <w:t>by</w:t>
      </w:r>
      <w:r w:rsidR="006B6773">
        <w:rPr>
          <w:rFonts w:asciiTheme="minorHAnsi" w:hAnsiTheme="minorHAnsi" w:cstheme="minorHAnsi"/>
          <w:sz w:val="22"/>
          <w:szCs w:val="22"/>
        </w:rPr>
        <w:t xml:space="preserve"> 3 fellowship-trained abdominal radiologists</w:t>
      </w:r>
      <w:r w:rsidR="002F4A23">
        <w:rPr>
          <w:rFonts w:asciiTheme="minorHAnsi" w:hAnsiTheme="minorHAnsi" w:cstheme="minorHAnsi"/>
          <w:sz w:val="22"/>
          <w:szCs w:val="22"/>
        </w:rPr>
        <w:t xml:space="preserve"> (PS, EC, MD)</w:t>
      </w:r>
      <w:r w:rsidR="006B6773">
        <w:rPr>
          <w:rFonts w:asciiTheme="minorHAnsi" w:hAnsiTheme="minorHAnsi" w:cstheme="minorHAnsi"/>
          <w:sz w:val="22"/>
          <w:szCs w:val="22"/>
        </w:rPr>
        <w:t xml:space="preserve"> and 1 abdominal radiology fellow</w:t>
      </w:r>
      <w:r w:rsidR="002F4A23">
        <w:rPr>
          <w:rFonts w:asciiTheme="minorHAnsi" w:hAnsiTheme="minorHAnsi" w:cstheme="minorHAnsi"/>
          <w:sz w:val="22"/>
          <w:szCs w:val="22"/>
        </w:rPr>
        <w:t xml:space="preserve"> (CH)</w:t>
      </w:r>
      <w:r w:rsidR="00832E6E">
        <w:rPr>
          <w:rFonts w:asciiTheme="minorHAnsi" w:hAnsiTheme="minorHAnsi" w:cstheme="minorHAnsi"/>
          <w:sz w:val="22"/>
          <w:szCs w:val="22"/>
        </w:rPr>
        <w:t>.</w:t>
      </w:r>
      <w:r w:rsidR="00C71255">
        <w:rPr>
          <w:rFonts w:asciiTheme="minorHAnsi" w:hAnsiTheme="minorHAnsi" w:cstheme="minorHAnsi"/>
          <w:sz w:val="22"/>
          <w:szCs w:val="22"/>
        </w:rPr>
        <w:t xml:space="preserve"> Each</w:t>
      </w:r>
      <w:r w:rsidR="00EA4360">
        <w:rPr>
          <w:rFonts w:asciiTheme="minorHAnsi" w:hAnsiTheme="minorHAnsi" w:cstheme="minorHAnsi"/>
          <w:sz w:val="22"/>
          <w:szCs w:val="22"/>
        </w:rPr>
        <w:t xml:space="preserve"> of the 4 </w:t>
      </w:r>
      <w:r w:rsidR="006B6773">
        <w:rPr>
          <w:rFonts w:asciiTheme="minorHAnsi" w:hAnsiTheme="minorHAnsi" w:cstheme="minorHAnsi"/>
          <w:sz w:val="22"/>
          <w:szCs w:val="22"/>
        </w:rPr>
        <w:t>radiologists</w:t>
      </w:r>
      <w:r w:rsidR="00C71255">
        <w:rPr>
          <w:rFonts w:asciiTheme="minorHAnsi" w:hAnsiTheme="minorHAnsi" w:cstheme="minorHAnsi"/>
          <w:sz w:val="22"/>
          <w:szCs w:val="22"/>
        </w:rPr>
        <w:t xml:space="preserve"> </w:t>
      </w:r>
      <w:r w:rsidR="006B6773">
        <w:rPr>
          <w:rFonts w:asciiTheme="minorHAnsi" w:hAnsiTheme="minorHAnsi" w:cstheme="minorHAnsi"/>
          <w:sz w:val="22"/>
          <w:szCs w:val="22"/>
        </w:rPr>
        <w:t>interpreted</w:t>
      </w:r>
      <w:r w:rsidR="00C71255">
        <w:rPr>
          <w:rFonts w:asciiTheme="minorHAnsi" w:hAnsiTheme="minorHAnsi" w:cstheme="minorHAnsi"/>
          <w:sz w:val="22"/>
          <w:szCs w:val="22"/>
        </w:rPr>
        <w:t xml:space="preserve"> 163-164 </w:t>
      </w:r>
      <w:r w:rsidR="006B6773">
        <w:rPr>
          <w:rFonts w:asciiTheme="minorHAnsi" w:hAnsiTheme="minorHAnsi" w:cstheme="minorHAnsi"/>
          <w:sz w:val="22"/>
          <w:szCs w:val="22"/>
        </w:rPr>
        <w:t>MRI examinations</w:t>
      </w:r>
      <w:r w:rsidR="00C71255">
        <w:rPr>
          <w:rFonts w:asciiTheme="minorHAnsi" w:hAnsiTheme="minorHAnsi" w:cstheme="minorHAnsi"/>
          <w:sz w:val="22"/>
          <w:szCs w:val="22"/>
        </w:rPr>
        <w:t xml:space="preserve">, with 20 overlapping </w:t>
      </w:r>
      <w:r w:rsidR="006B6773">
        <w:rPr>
          <w:rFonts w:asciiTheme="minorHAnsi" w:hAnsiTheme="minorHAnsi" w:cstheme="minorHAnsi"/>
          <w:sz w:val="22"/>
          <w:szCs w:val="22"/>
        </w:rPr>
        <w:t xml:space="preserve">interpretations for all radiologists </w:t>
      </w:r>
      <w:r w:rsidR="00C71255">
        <w:rPr>
          <w:rFonts w:asciiTheme="minorHAnsi" w:hAnsiTheme="minorHAnsi" w:cstheme="minorHAnsi"/>
          <w:sz w:val="22"/>
          <w:szCs w:val="22"/>
        </w:rPr>
        <w:t xml:space="preserve">to facilitate </w:t>
      </w:r>
      <w:r w:rsidR="006B6773">
        <w:rPr>
          <w:rFonts w:asciiTheme="minorHAnsi" w:hAnsiTheme="minorHAnsi" w:cstheme="minorHAnsi"/>
          <w:sz w:val="22"/>
          <w:szCs w:val="22"/>
        </w:rPr>
        <w:t>assessment of inter-rater agreement</w:t>
      </w:r>
      <w:r w:rsidR="00C71255">
        <w:rPr>
          <w:rFonts w:asciiTheme="minorHAnsi" w:hAnsiTheme="minorHAnsi" w:cstheme="minorHAnsi"/>
          <w:sz w:val="22"/>
          <w:szCs w:val="22"/>
        </w:rPr>
        <w:t xml:space="preserve">. </w:t>
      </w:r>
      <w:r w:rsidR="00AC29D8" w:rsidRPr="001F5CEC">
        <w:rPr>
          <w:rFonts w:asciiTheme="minorHAnsi" w:hAnsiTheme="minorHAnsi" w:cstheme="minorHAnsi"/>
          <w:sz w:val="22"/>
          <w:szCs w:val="22"/>
        </w:rPr>
        <w:t>The raters were blinded to all clinical and pathologic data</w:t>
      </w:r>
      <w:r w:rsidR="00183059">
        <w:rPr>
          <w:rFonts w:asciiTheme="minorHAnsi" w:hAnsiTheme="minorHAnsi" w:cstheme="minorHAnsi"/>
          <w:sz w:val="22"/>
          <w:szCs w:val="22"/>
        </w:rPr>
        <w:t xml:space="preserve">. Raters </w:t>
      </w:r>
      <w:r w:rsidR="00AC3391">
        <w:rPr>
          <w:rFonts w:asciiTheme="minorHAnsi" w:hAnsiTheme="minorHAnsi" w:cstheme="minorHAnsi"/>
          <w:sz w:val="22"/>
          <w:szCs w:val="22"/>
        </w:rPr>
        <w:t xml:space="preserve">were </w:t>
      </w:r>
      <w:r w:rsidR="00183059">
        <w:rPr>
          <w:rFonts w:asciiTheme="minorHAnsi" w:hAnsiTheme="minorHAnsi" w:cstheme="minorHAnsi"/>
          <w:sz w:val="22"/>
          <w:szCs w:val="22"/>
        </w:rPr>
        <w:t xml:space="preserve">provided an atlas detailing the measurement techniques and were </w:t>
      </w:r>
      <w:r w:rsidR="00AC3391">
        <w:rPr>
          <w:rFonts w:asciiTheme="minorHAnsi" w:hAnsiTheme="minorHAnsi" w:cstheme="minorHAnsi"/>
          <w:sz w:val="22"/>
          <w:szCs w:val="22"/>
        </w:rPr>
        <w:t xml:space="preserve">trained on </w:t>
      </w:r>
      <w:r w:rsidR="00183059">
        <w:rPr>
          <w:rFonts w:asciiTheme="minorHAnsi" w:hAnsiTheme="minorHAnsi" w:cstheme="minorHAnsi"/>
          <w:sz w:val="22"/>
          <w:szCs w:val="22"/>
        </w:rPr>
        <w:t>these</w:t>
      </w:r>
      <w:r w:rsidR="00AC3391">
        <w:rPr>
          <w:rFonts w:asciiTheme="minorHAnsi" w:hAnsiTheme="minorHAnsi" w:cstheme="minorHAnsi"/>
          <w:sz w:val="22"/>
          <w:szCs w:val="22"/>
        </w:rPr>
        <w:t xml:space="preserve"> techniques</w:t>
      </w:r>
      <w:r w:rsidR="00DC3BE9">
        <w:rPr>
          <w:rFonts w:asciiTheme="minorHAnsi" w:hAnsiTheme="minorHAnsi" w:cstheme="minorHAnsi"/>
          <w:sz w:val="22"/>
          <w:szCs w:val="22"/>
        </w:rPr>
        <w:t xml:space="preserve"> in 2 sessions </w:t>
      </w:r>
      <w:r w:rsidR="00183059">
        <w:rPr>
          <w:rFonts w:asciiTheme="minorHAnsi" w:hAnsiTheme="minorHAnsi" w:cstheme="minorHAnsi"/>
          <w:sz w:val="22"/>
          <w:szCs w:val="22"/>
        </w:rPr>
        <w:t xml:space="preserve">with example </w:t>
      </w:r>
      <w:r w:rsidR="00DC3BE9">
        <w:rPr>
          <w:rFonts w:asciiTheme="minorHAnsi" w:hAnsiTheme="minorHAnsi" w:cstheme="minorHAnsi"/>
          <w:sz w:val="22"/>
          <w:szCs w:val="22"/>
        </w:rPr>
        <w:t>cases.</w:t>
      </w:r>
    </w:p>
    <w:p w14:paraId="066A868A" w14:textId="4D3273F4" w:rsidR="00B011AF" w:rsidRPr="00C71255" w:rsidRDefault="00F9094C" w:rsidP="00260272">
      <w:pPr>
        <w:spacing w:line="480" w:lineRule="auto"/>
        <w:ind w:firstLine="720"/>
        <w:rPr>
          <w:rFonts w:asciiTheme="minorHAnsi" w:hAnsiTheme="minorHAnsi" w:cstheme="minorHAnsi"/>
          <w:sz w:val="22"/>
          <w:szCs w:val="22"/>
        </w:rPr>
      </w:pPr>
      <w:r>
        <w:rPr>
          <w:rFonts w:asciiTheme="minorHAnsi" w:hAnsiTheme="minorHAnsi" w:cstheme="minorHAnsi"/>
          <w:sz w:val="22"/>
          <w:szCs w:val="22"/>
        </w:rPr>
        <w:lastRenderedPageBreak/>
        <w:t xml:space="preserve">All measurements were made on narrow field-of-view T2w images. </w:t>
      </w:r>
      <w:r w:rsidR="000D17B1" w:rsidRPr="001F5CEC">
        <w:rPr>
          <w:rFonts w:asciiTheme="minorHAnsi" w:hAnsiTheme="minorHAnsi" w:cstheme="minorHAnsi"/>
          <w:sz w:val="22"/>
          <w:szCs w:val="22"/>
        </w:rPr>
        <w:t xml:space="preserve">MUL was </w:t>
      </w:r>
      <w:r>
        <w:rPr>
          <w:rFonts w:asciiTheme="minorHAnsi" w:hAnsiTheme="minorHAnsi" w:cstheme="minorHAnsi"/>
          <w:sz w:val="22"/>
          <w:szCs w:val="22"/>
        </w:rPr>
        <w:t xml:space="preserve">measured in the </w:t>
      </w:r>
      <w:r w:rsidR="00B974A5" w:rsidRPr="001F5CEC">
        <w:rPr>
          <w:rFonts w:asciiTheme="minorHAnsi" w:hAnsiTheme="minorHAnsi" w:cstheme="minorHAnsi"/>
          <w:sz w:val="22"/>
          <w:szCs w:val="22"/>
        </w:rPr>
        <w:t xml:space="preserve">coronal and sagittal </w:t>
      </w:r>
      <w:r>
        <w:rPr>
          <w:rFonts w:asciiTheme="minorHAnsi" w:hAnsiTheme="minorHAnsi" w:cstheme="minorHAnsi"/>
          <w:sz w:val="22"/>
          <w:szCs w:val="22"/>
        </w:rPr>
        <w:t>plane</w:t>
      </w:r>
      <w:r w:rsidR="00B974A5" w:rsidRPr="001F5CEC">
        <w:rPr>
          <w:rFonts w:asciiTheme="minorHAnsi" w:hAnsiTheme="minorHAnsi" w:cstheme="minorHAnsi"/>
          <w:sz w:val="22"/>
          <w:szCs w:val="22"/>
        </w:rPr>
        <w:t xml:space="preserve">. MUL was defined as </w:t>
      </w:r>
      <w:r w:rsidR="00B011AF" w:rsidRPr="001F5CEC">
        <w:rPr>
          <w:rFonts w:asciiTheme="minorHAnsi" w:hAnsiTheme="minorHAnsi" w:cstheme="minorHAnsi"/>
          <w:sz w:val="22"/>
          <w:szCs w:val="22"/>
        </w:rPr>
        <w:t>the distance from the prostate apex to the urethral entry into the penile bulb</w:t>
      </w:r>
      <w:r w:rsidR="00B974A5" w:rsidRPr="001F5CEC">
        <w:rPr>
          <w:rFonts w:asciiTheme="minorHAnsi" w:hAnsiTheme="minorHAnsi" w:cstheme="minorHAnsi"/>
          <w:sz w:val="22"/>
          <w:szCs w:val="22"/>
        </w:rPr>
        <w:t xml:space="preserve"> (Figure 1)</w:t>
      </w:r>
      <w:r w:rsidR="00DC0C26" w:rsidRPr="001F5CEC">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{"citationItems":[{"id":"ITEM-1","itemData":{"DOI":"10.1016/S0022-5347(05)64568-5","ISSN":"00225347","abstract":"Purpose: We determined whether membranous urethral length on preoperative magnetic resonance imaging (MRI) is predictive of urinary continence after radical retropubic prostatectomy. Materials and Methods: Membranous urethral length was measured on preoperative endorectal MRI in 211 consecutive patients with newly diagnosed prostate cancer before radical retropubic prostatectomy performed by a single surgeon. Neurovascular bundle resection was done in 60 cases. After surgery the time to stable postoperative continence was recorded in 180 cases and the level of stable continence was graded on a 5-point scale of 1 - complete continence to 5 - complete incontinence. Results: After controlling for age and surgical technique multivariate analysis showed that membranous urethral length was related to time to stable postoperative continence (p = 0.02), such that a longer membranous urethra was associated with a shorter time to stable continence. For example, 1 year after surgery 120 of the 134 patients (89%) with a preoperative membranous urethral length of greater than 12 mm. were completely continent compared with 35 of the 46 (77%) with a preoperative length of 12 mm. or less. Conclusions: On endorectal MRI before radical prostatectomy a longer membranous urethra is associated with significantly more rapid return of urinary continence after surgery.","author":[{"dropping-particle":"V.","family":"Coakley","given":"Fergus","non-dropping-particle":"","parse-names":false,"suffix":""},{"dropping-particle":"","family":"Eberhardt","given":"Steven","non-dropping-particle":"","parse-names":false,"suffix":""},{"dropping-particle":"","family":"Kattan","given":"Michael W.","non-dropping-particle":"","parse-names":false,"suffix":""},{"dropping-particle":"","family":"Wei","given":"David C.","non-dropping-particle":"","parse-names":false,"suffix":""},{"dropping-particle":"","family":"Scardino","given":"Peter T.","non-dropping-particle":"","parse-names":false,"suffix":""},{"dropping-particle":"","family":"Hricak","given":"Hedvig","non-dropping-particle":"","parse-names":false,"suffix":""}],"container-title":"Journal of Urology","id":"ITEM-1","issued":{"date-parts":[["2002"]]},"title":"Urinary continence after radical retropubic prostatectomy: Relationship with membranous urethral length on preoperative endorectal magnetic resonance","type":"article-journal"},"uris":["http://www.mendeley.com/documents/?uuid=30f6907b-6540-4256-ab95-455266614af2"]},{"id":"ITEM-2","itemData":{"DOI":"10.1016/j.juro.2011.10.143","ISSN":"00225347","abstract":"Purpose: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Urology","id":"ITEM-2","issue":"3","issued":{"date-parts":[["2012"]]},"page":"945-950","publisher":"Elsevier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imaging","type":"article-journal","volume":"187"},"uris":["http://www.mendeley.com/documents/?uuid=46f83362-fcb1-4c50-9a68-238fd933be45"]},{"id":"ITEM-3","itemData":{"DOI":"10.1016/j.eururo.2016.06.023","ISSN":"18737560","abstract":"Context Membranous urethral length (MUL) measured prior to radical prostatectomy (RP) has been identified as a factor that is associated with the recovery of continence following surgery. Objective To undertake a systematic review and meta-analysis of all studies reporting the effect of MUL on the recovery of continence following RP. Evidence acquisition A comprehensive search of PubMed, EMBASE, and Scopus databases up to September 2015 was performed. Thirteen studies comprising one randomized controlled trial and 12 cohort studies were selected for inclusion. Evidence synthesis Four studies (1738 patients) that reported hazard ratio results. Every extra millimeter (mm) of MUL was associated with a faster return to continence (hazard ratio: 1.05; 95% confidence interval [CI]: 1.02–1.08, p &lt; 0.001). Eleven studies (6993 patients) reported the OR (OR) for the return to continence at one or more postoperative time points. MUL had a significant positive effect on continence recovery at 3 mo (OR: 1.08, 95% CI: 1.03–1.14, p = 0.004), 6 mo (OR: 1.12, 95% CI: 1.09–1.15, p &lt; 0.0001). and 12 mo (OR: 1.12, 95% CI: 1.03–1.22, p = 0.006) following surgery. After adjusting for repeated measurements over time and studies with overlapping data, all OR data combined indicated that every extra millimeter of MUL was associated with significantly greater odds for return to continence (OR: 1.09, 95% CI: 1.05–1.15, p &lt; 0.001). Conclusions A greater preoperative MUL is significantly and positively associated with a return to continence in men following RP. Magnetic resonance imaging measurement of MUL is recommended prior to RP. Patient summary We examined the effect that the length of a section of the urethra (called the membranous urethra) had on the recovery of continence after radical prostatectomy surgery. Our results indicate that measuring the length of the membranous urethra via magnetic resonance imaging before surgery may be useful to predict a longer period of urinary incontinence after surgery, or to explain a delay in achieving continence after surgery.","author":[{"dropping-particle":"","family":"Mungovan","given":"Sean F.","non-dropping-particle":"","parse-names":false,"suffix":""},{"dropping-particle":"","family":"Sandhu","given":"Jaspreet S.","non-dropping-particle":"","parse-names":false,"suffix":""},{"dropping-particle":"","family":"Akin","given":"Oguz","non-dropping-particle":"","parse-names":false,"suffix":""},{"dropping-particle":"","family":"Smart","given":"Neil A.","non-dropping-particle":"","parse-names":false,"suffix":""},{"dropping-particle":"","family":"Graham","given":"Petra L.","non-dropping-particle":"","parse-names":false,"suffix":""},{"dropping-particle":"","family":"Patel","given":"Manish I.","non-dropping-particle":"","parse-names":false,"suffix":""}],"container-title":"European Urology","id":"ITEM-3","issued":{"date-parts":[["2017"]]},"title":"Preoperative Membranous Urethral Length Measurement and Continence Recovery Following Radical Prostatectomy: A Systematic Review and Meta-analysis","type":"article"},"uris":["http://www.mendeley.com/documents/?uuid=576ae724-e891-486a-bd0f-7ce325556490"]}],"mendeley":{"formattedCitation":"&lt;sup&gt;11,12,34&lt;/sup&gt;","plainTextFormattedCitation":"11,12,34","previouslyFormattedCitation":"&lt;sup&gt;11,12,33&lt;/sup&gt;"},"properties":{"noteIndex":0},"schema":"https://github.com/citation-style-language/schema/raw/master/csl-citation.json"}</w:instrText>
      </w:r>
      <w:r w:rsidR="00DC0C26" w:rsidRPr="001F5CEC">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11,12,34</w:t>
      </w:r>
      <w:r w:rsidR="00DC0C26" w:rsidRPr="001F5CEC">
        <w:rPr>
          <w:rFonts w:asciiTheme="minorHAnsi" w:hAnsiTheme="minorHAnsi" w:cstheme="minorHAnsi"/>
          <w:sz w:val="22"/>
          <w:szCs w:val="22"/>
        </w:rPr>
        <w:fldChar w:fldCharType="end"/>
      </w:r>
      <w:r w:rsidR="00B974A5" w:rsidRPr="001F5CEC">
        <w:rPr>
          <w:rFonts w:asciiTheme="minorHAnsi" w:hAnsiTheme="minorHAnsi" w:cstheme="minorHAnsi"/>
          <w:sz w:val="22"/>
          <w:szCs w:val="22"/>
        </w:rPr>
        <w:t xml:space="preserve">. </w:t>
      </w:r>
      <w:r w:rsidR="00B011AF" w:rsidRPr="001F5CEC">
        <w:rPr>
          <w:rFonts w:asciiTheme="minorHAnsi" w:hAnsiTheme="minorHAnsi" w:cstheme="minorHAnsi"/>
          <w:sz w:val="22"/>
          <w:szCs w:val="22"/>
        </w:rPr>
        <w:t>Inner levator distance</w:t>
      </w:r>
      <w:r w:rsidR="00A17204">
        <w:rPr>
          <w:rFonts w:asciiTheme="minorHAnsi" w:hAnsiTheme="minorHAnsi" w:cstheme="minorHAnsi"/>
          <w:sz w:val="22"/>
          <w:szCs w:val="22"/>
        </w:rPr>
        <w:t xml:space="preserve"> </w:t>
      </w:r>
      <w:r>
        <w:rPr>
          <w:rFonts w:asciiTheme="minorHAnsi" w:hAnsiTheme="minorHAnsi" w:cstheme="minorHAnsi"/>
          <w:sz w:val="22"/>
          <w:szCs w:val="22"/>
        </w:rPr>
        <w:t xml:space="preserve">was measured in the axial plane and was </w:t>
      </w:r>
      <w:r w:rsidR="00124FC8" w:rsidRPr="001F5CEC">
        <w:rPr>
          <w:rFonts w:asciiTheme="minorHAnsi" w:hAnsiTheme="minorHAnsi" w:cstheme="minorHAnsi"/>
          <w:sz w:val="22"/>
          <w:szCs w:val="22"/>
        </w:rPr>
        <w:t xml:space="preserve">defined as </w:t>
      </w:r>
      <w:r w:rsidR="00B011AF" w:rsidRPr="001F5CEC">
        <w:rPr>
          <w:rFonts w:asciiTheme="minorHAnsi" w:hAnsiTheme="minorHAnsi" w:cstheme="minorHAnsi"/>
          <w:sz w:val="22"/>
          <w:szCs w:val="22"/>
        </w:rPr>
        <w:t xml:space="preserve">the </w:t>
      </w:r>
      <w:r w:rsidR="00124FC8" w:rsidRPr="001F5CEC">
        <w:rPr>
          <w:rFonts w:asciiTheme="minorHAnsi" w:hAnsiTheme="minorHAnsi" w:cstheme="minorHAnsi"/>
          <w:sz w:val="22"/>
          <w:szCs w:val="22"/>
        </w:rPr>
        <w:t xml:space="preserve">narrowest </w:t>
      </w:r>
      <w:r w:rsidR="00B011AF" w:rsidRPr="001F5CEC">
        <w:rPr>
          <w:rFonts w:asciiTheme="minorHAnsi" w:hAnsiTheme="minorHAnsi" w:cstheme="minorHAnsi"/>
          <w:sz w:val="22"/>
          <w:szCs w:val="22"/>
        </w:rPr>
        <w:t xml:space="preserve">distance between the inner borders of the levator muscles </w:t>
      </w:r>
      <w:r w:rsidR="00124FC8" w:rsidRPr="001F5CEC">
        <w:rPr>
          <w:rFonts w:asciiTheme="minorHAnsi" w:hAnsiTheme="minorHAnsi" w:cstheme="minorHAnsi"/>
          <w:sz w:val="22"/>
          <w:szCs w:val="22"/>
        </w:rPr>
        <w:t>just below the caudal margin of the prostat</w:t>
      </w:r>
      <w:r w:rsidR="0057077F">
        <w:rPr>
          <w:rFonts w:asciiTheme="minorHAnsi" w:hAnsiTheme="minorHAnsi" w:cstheme="minorHAnsi"/>
          <w:sz w:val="22"/>
          <w:szCs w:val="22"/>
        </w:rPr>
        <w:t>ic</w:t>
      </w:r>
      <w:r w:rsidR="00124FC8" w:rsidRPr="001F5CEC">
        <w:rPr>
          <w:rFonts w:asciiTheme="minorHAnsi" w:hAnsiTheme="minorHAnsi" w:cstheme="minorHAnsi"/>
          <w:sz w:val="22"/>
          <w:szCs w:val="22"/>
        </w:rPr>
        <w:t xml:space="preserve"> apex. Outer </w:t>
      </w:r>
      <w:r>
        <w:rPr>
          <w:rFonts w:asciiTheme="minorHAnsi" w:hAnsiTheme="minorHAnsi" w:cstheme="minorHAnsi"/>
          <w:sz w:val="22"/>
          <w:szCs w:val="22"/>
        </w:rPr>
        <w:t>levator distance</w:t>
      </w:r>
      <w:r w:rsidRPr="001F5CEC">
        <w:rPr>
          <w:rFonts w:asciiTheme="minorHAnsi" w:hAnsiTheme="minorHAnsi" w:cstheme="minorHAnsi"/>
          <w:sz w:val="22"/>
          <w:szCs w:val="22"/>
        </w:rPr>
        <w:t xml:space="preserve"> </w:t>
      </w:r>
      <w:r w:rsidR="00124FC8" w:rsidRPr="001F5CEC">
        <w:rPr>
          <w:rFonts w:asciiTheme="minorHAnsi" w:hAnsiTheme="minorHAnsi" w:cstheme="minorHAnsi"/>
          <w:sz w:val="22"/>
          <w:szCs w:val="22"/>
        </w:rPr>
        <w:t xml:space="preserve">was </w:t>
      </w:r>
      <w:r>
        <w:rPr>
          <w:rFonts w:asciiTheme="minorHAnsi" w:hAnsiTheme="minorHAnsi" w:cstheme="minorHAnsi"/>
          <w:sz w:val="22"/>
          <w:szCs w:val="22"/>
        </w:rPr>
        <w:t xml:space="preserve">measured in the axial plane and was </w:t>
      </w:r>
      <w:r w:rsidR="00124FC8" w:rsidRPr="001F5CEC">
        <w:rPr>
          <w:rFonts w:asciiTheme="minorHAnsi" w:hAnsiTheme="minorHAnsi" w:cstheme="minorHAnsi"/>
          <w:sz w:val="22"/>
          <w:szCs w:val="22"/>
        </w:rPr>
        <w:t>defined as the distance between the outer borders of the levator muscles at the same level as the inner levator distance measuremen</w:t>
      </w:r>
      <w:r w:rsidR="00AC3391">
        <w:rPr>
          <w:rFonts w:asciiTheme="minorHAnsi" w:hAnsiTheme="minorHAnsi" w:cstheme="minorHAnsi"/>
          <w:sz w:val="22"/>
          <w:szCs w:val="22"/>
        </w:rPr>
        <w:t>t</w:t>
      </w:r>
      <w:r w:rsidR="0057077F">
        <w:rPr>
          <w:rFonts w:asciiTheme="minorHAnsi" w:hAnsiTheme="minorHAnsi" w:cstheme="minorHAnsi"/>
          <w:sz w:val="22"/>
          <w:szCs w:val="22"/>
        </w:rPr>
        <w:t xml:space="preserve"> </w:t>
      </w:r>
      <w:r w:rsidR="0057077F" w:rsidRPr="00C71255">
        <w:rPr>
          <w:rFonts w:asciiTheme="minorHAnsi" w:hAnsiTheme="minorHAnsi" w:cstheme="minorHAnsi"/>
          <w:sz w:val="22"/>
          <w:szCs w:val="22"/>
        </w:rPr>
        <w:t>(Figure 2</w:t>
      </w:r>
      <w:r w:rsidR="00C71255" w:rsidRPr="00C71255">
        <w:rPr>
          <w:rFonts w:asciiTheme="minorHAnsi" w:hAnsiTheme="minorHAnsi" w:cstheme="minorHAnsi"/>
          <w:sz w:val="22"/>
          <w:szCs w:val="22"/>
        </w:rPr>
        <w:t>a</w:t>
      </w:r>
      <w:r w:rsidR="0057077F" w:rsidRPr="00C71255">
        <w:rPr>
          <w:rFonts w:asciiTheme="minorHAnsi" w:hAnsiTheme="minorHAnsi" w:cstheme="minorHAnsi"/>
          <w:sz w:val="22"/>
          <w:szCs w:val="22"/>
        </w:rPr>
        <w:t>)</w:t>
      </w:r>
      <w:r w:rsidR="00124FC8" w:rsidRPr="001F5CEC">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124FC8" w:rsidRPr="001F5CEC">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124FC8" w:rsidRPr="001F5CEC">
        <w:rPr>
          <w:rFonts w:asciiTheme="minorHAnsi" w:hAnsiTheme="minorHAnsi" w:cstheme="minorHAnsi"/>
          <w:sz w:val="22"/>
          <w:szCs w:val="22"/>
        </w:rPr>
        <w:fldChar w:fldCharType="end"/>
      </w:r>
      <w:r w:rsidR="00AC3391">
        <w:rPr>
          <w:rFonts w:asciiTheme="minorHAnsi" w:hAnsiTheme="minorHAnsi" w:cstheme="minorHAnsi"/>
          <w:sz w:val="22"/>
          <w:szCs w:val="22"/>
        </w:rPr>
        <w:t xml:space="preserve">. </w:t>
      </w:r>
      <w:proofErr w:type="spellStart"/>
      <w:r w:rsidR="0057077F">
        <w:rPr>
          <w:rFonts w:asciiTheme="minorHAnsi" w:hAnsiTheme="minorHAnsi" w:cstheme="minorHAnsi"/>
          <w:sz w:val="22"/>
          <w:szCs w:val="22"/>
        </w:rPr>
        <w:t>aMUP</w:t>
      </w:r>
      <w:proofErr w:type="spellEnd"/>
      <w:r w:rsidR="0057077F">
        <w:rPr>
          <w:rFonts w:asciiTheme="minorHAnsi" w:hAnsiTheme="minorHAnsi" w:cstheme="minorHAnsi"/>
          <w:sz w:val="22"/>
          <w:szCs w:val="22"/>
        </w:rPr>
        <w:t xml:space="preserve"> was measured </w:t>
      </w:r>
      <w:r>
        <w:rPr>
          <w:rFonts w:asciiTheme="minorHAnsi" w:hAnsiTheme="minorHAnsi" w:cstheme="minorHAnsi"/>
          <w:sz w:val="22"/>
          <w:szCs w:val="22"/>
        </w:rPr>
        <w:t>in the sagittal plane</w:t>
      </w:r>
      <w:r w:rsidR="0057077F">
        <w:rPr>
          <w:rFonts w:asciiTheme="minorHAnsi" w:hAnsiTheme="minorHAnsi" w:cstheme="minorHAnsi"/>
          <w:sz w:val="22"/>
          <w:szCs w:val="22"/>
        </w:rPr>
        <w:t xml:space="preserve"> and defined as the angle between the MUL a</w:t>
      </w:r>
      <w:r>
        <w:rPr>
          <w:rFonts w:asciiTheme="minorHAnsi" w:hAnsiTheme="minorHAnsi" w:cstheme="minorHAnsi"/>
          <w:sz w:val="22"/>
          <w:szCs w:val="22"/>
        </w:rPr>
        <w:t>nd a</w:t>
      </w:r>
      <w:r w:rsidR="0057077F">
        <w:rPr>
          <w:rFonts w:asciiTheme="minorHAnsi" w:hAnsiTheme="minorHAnsi" w:cstheme="minorHAnsi"/>
          <w:sz w:val="22"/>
          <w:szCs w:val="22"/>
        </w:rPr>
        <w:t xml:space="preserve"> line drawn </w:t>
      </w:r>
      <w:r>
        <w:rPr>
          <w:rFonts w:asciiTheme="minorHAnsi" w:hAnsiTheme="minorHAnsi" w:cstheme="minorHAnsi"/>
          <w:sz w:val="22"/>
          <w:szCs w:val="22"/>
        </w:rPr>
        <w:t xml:space="preserve">through </w:t>
      </w:r>
      <w:r w:rsidR="0057077F">
        <w:rPr>
          <w:rFonts w:asciiTheme="minorHAnsi" w:hAnsiTheme="minorHAnsi" w:cstheme="minorHAnsi"/>
          <w:sz w:val="22"/>
          <w:szCs w:val="22"/>
        </w:rPr>
        <w:t xml:space="preserve">the </w:t>
      </w:r>
      <w:r w:rsidR="00C71255">
        <w:rPr>
          <w:rFonts w:asciiTheme="minorHAnsi" w:hAnsiTheme="minorHAnsi" w:cstheme="minorHAnsi"/>
          <w:sz w:val="22"/>
          <w:szCs w:val="22"/>
        </w:rPr>
        <w:t>prostatic axis</w:t>
      </w:r>
      <w:r w:rsidR="0057077F">
        <w:rPr>
          <w:rFonts w:asciiTheme="minorHAnsi" w:hAnsiTheme="minorHAnsi" w:cstheme="minorHAnsi"/>
          <w:sz w:val="22"/>
          <w:szCs w:val="22"/>
        </w:rPr>
        <w:t xml:space="preserve"> </w:t>
      </w:r>
      <w:r w:rsidR="0057077F" w:rsidRPr="00C71255">
        <w:rPr>
          <w:rFonts w:asciiTheme="minorHAnsi" w:hAnsiTheme="minorHAnsi" w:cstheme="minorHAnsi"/>
          <w:sz w:val="22"/>
          <w:szCs w:val="22"/>
        </w:rPr>
        <w:t>(Figure 2</w:t>
      </w:r>
      <w:r w:rsidR="00C71255" w:rsidRPr="00C71255">
        <w:rPr>
          <w:rFonts w:asciiTheme="minorHAnsi" w:hAnsiTheme="minorHAnsi" w:cstheme="minorHAnsi"/>
          <w:sz w:val="22"/>
          <w:szCs w:val="22"/>
        </w:rPr>
        <w:t>b</w:t>
      </w:r>
      <w:r w:rsidR="0057077F" w:rsidRPr="00C71255">
        <w:rPr>
          <w:rFonts w:asciiTheme="minorHAnsi" w:hAnsiTheme="minorHAnsi" w:cstheme="minorHAnsi"/>
          <w:sz w:val="22"/>
          <w:szCs w:val="22"/>
        </w:rPr>
        <w:t>)</w:t>
      </w:r>
      <w:r w:rsidR="0057077F">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57077F">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57077F">
        <w:rPr>
          <w:rFonts w:asciiTheme="minorHAnsi" w:hAnsiTheme="minorHAnsi" w:cstheme="minorHAnsi"/>
          <w:sz w:val="22"/>
          <w:szCs w:val="22"/>
        </w:rPr>
        <w:fldChar w:fldCharType="end"/>
      </w:r>
      <w:r w:rsidR="0057077F">
        <w:rPr>
          <w:rFonts w:asciiTheme="minorHAnsi" w:hAnsiTheme="minorHAnsi" w:cstheme="minorHAnsi"/>
          <w:sz w:val="22"/>
          <w:szCs w:val="22"/>
        </w:rPr>
        <w:t xml:space="preserve">. The </w:t>
      </w:r>
      <w:proofErr w:type="spellStart"/>
      <w:r w:rsidR="0057077F">
        <w:rPr>
          <w:rFonts w:asciiTheme="minorHAnsi" w:hAnsiTheme="minorHAnsi" w:cstheme="minorHAnsi"/>
          <w:sz w:val="22"/>
          <w:szCs w:val="22"/>
        </w:rPr>
        <w:t>pubourethral</w:t>
      </w:r>
      <w:proofErr w:type="spellEnd"/>
      <w:r w:rsidR="0057077F">
        <w:rPr>
          <w:rFonts w:asciiTheme="minorHAnsi" w:hAnsiTheme="minorHAnsi" w:cstheme="minorHAnsi"/>
          <w:sz w:val="22"/>
          <w:szCs w:val="22"/>
        </w:rPr>
        <w:t xml:space="preserve"> angle </w:t>
      </w:r>
      <w:r>
        <w:rPr>
          <w:rFonts w:asciiTheme="minorHAnsi" w:hAnsiTheme="minorHAnsi" w:cstheme="minorHAnsi"/>
          <w:sz w:val="22"/>
          <w:szCs w:val="22"/>
        </w:rPr>
        <w:t xml:space="preserve">was measured in the sagittal plane and defined as </w:t>
      </w:r>
      <w:r w:rsidR="0057077F">
        <w:rPr>
          <w:rFonts w:asciiTheme="minorHAnsi" w:hAnsiTheme="minorHAnsi" w:cstheme="minorHAnsi"/>
          <w:sz w:val="22"/>
          <w:szCs w:val="22"/>
        </w:rPr>
        <w:t xml:space="preserve">the angle between a line drawn from the anterior bladder neck to the lower border of the pubic symphysis and a line drawn from the upper to lower border of the pubic symphysis </w:t>
      </w:r>
      <w:r w:rsidR="0057077F" w:rsidRPr="00C71255">
        <w:rPr>
          <w:rFonts w:asciiTheme="minorHAnsi" w:hAnsiTheme="minorHAnsi" w:cstheme="minorHAnsi"/>
          <w:sz w:val="22"/>
          <w:szCs w:val="22"/>
        </w:rPr>
        <w:t>(Figure 2</w:t>
      </w:r>
      <w:r w:rsidR="00C71255" w:rsidRPr="00C71255">
        <w:rPr>
          <w:rFonts w:asciiTheme="minorHAnsi" w:hAnsiTheme="minorHAnsi" w:cstheme="minorHAnsi"/>
          <w:sz w:val="22"/>
          <w:szCs w:val="22"/>
        </w:rPr>
        <w:t>c</w:t>
      </w:r>
      <w:r w:rsidR="0057077F" w:rsidRPr="00C71255">
        <w:rPr>
          <w:rFonts w:asciiTheme="minorHAnsi" w:hAnsiTheme="minorHAnsi" w:cstheme="minorHAnsi"/>
          <w:sz w:val="22"/>
          <w:szCs w:val="22"/>
        </w:rPr>
        <w:t>)</w:t>
      </w:r>
      <w:r w:rsidR="0057077F">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{"citationItems":[{"id":"ITEM-1","itemData":{"DOI":"10.1007/s00192-004-1228-7","ISSN":"09373462","abstract":"Ultrasound is a supplementary, indispensable diagnostic procedure in urogynecology; perineal, introital, and endoanal ultrasound are the most recommended techniques. The position and mobility of the bladder neck can be demonstrated. In patients undergoing diagnostic work-up for urge symptoms, ultrasound occasionally demonstrates urethral diverticula, leiomyomas, and cysts in the vaginal wall. These findings will lead to further diagnostic assessment. The same applies to the demonstration of bladder diverticula, foreign bodies in the bladder, and bullous edema. With endoanal ultrasound, different parts of the sphincter ani muscle can be evaluated. Recommendations for the standardized use of urogenital ultrasound are given. © International Urogynecology Journal 2004.","author":[{"dropping-particle":"","family":"Tunn","given":"R.","non-dropping-particle":"","parse-names":false,"suffix":""},{"dropping-particle":"","family":"Schaer","given":"G.","non-dropping-particle":"","parse-names":false,"suffix":""},{"dropping-particle":"","family":"Peschers","given":"Ursula","non-dropping-particle":"","parse-names":false,"suffix":""},{"dropping-particle":"","family":"Bader","given":"W.","non-dropping-particle":"","parse-names":false,"suffix":""},{"dropping-particle":"","family":"Gauruder","given":"A.","non-dropping-particle":"","parse-names":false,"suffix":""},{"dropping-particle":"","family":"Hanzal","given":"E.","non-dropping-particle":"","parse-names":false,"suffix":""},{"dropping-particle":"","family":"Koelbl","given":"H.","non-dropping-particle":"","parse-names":false,"suffix":""},{"dropping-particle":"","family":"Koelle","given":"D.","non-dropping-particle":"","parse-names":false,"suffix":""},{"dropping-particle":"","family":"Perucchini","given":"D.","non-dropping-particle":"","parse-names":false,"suffix":""},{"dropping-particle":"","family":"Petri","given":"E.","non-dropping-particle":"","parse-names":false,"suffix":""},{"dropping-particle":"","family":"Riss","given":"P.","non-dropping-particle":"","parse-names":false,"suffix":""},{"dropping-particle":"","family":"Schuessler","given":"B.","non-dropping-particle":"","parse-names":false,"suffix":""},{"dropping-particle":"","family":"Viereck","given":"V.","non-dropping-particle":"","parse-names":false,"suffix":""}],"container-title":"International Urogynecology Journal","id":"ITEM-1","issue":"3","issued":{"date-parts":[["2005"]]},"page":"236-241","publisher":"Springer London","title":"Updated recommendations on ultrasonography in urogynecology","type":"article","volume":"16"},"uris":["http://www.mendeley.com/documents/?uuid=82cb6347-3dd3-333a-b565-a8cae667de91"]}],"mendeley":{"formattedCitation":"&lt;sup&gt;21&lt;/sup&gt;","plainTextFormattedCitation":"21","previouslyFormattedCitation":"&lt;sup&gt;21&lt;/sup&gt;"},"properties":{"noteIndex":0},"schema":"https://github.com/citation-style-language/schema/raw/master/csl-citation.json"}</w:instrText>
      </w:r>
      <w:r w:rsidR="0057077F">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21</w:t>
      </w:r>
      <w:r w:rsidR="0057077F">
        <w:rPr>
          <w:rFonts w:asciiTheme="minorHAnsi" w:hAnsiTheme="minorHAnsi" w:cstheme="minorHAnsi"/>
          <w:sz w:val="22"/>
          <w:szCs w:val="22"/>
        </w:rPr>
        <w:fldChar w:fldCharType="end"/>
      </w:r>
      <w:r w:rsidR="0057077F">
        <w:rPr>
          <w:rFonts w:asciiTheme="minorHAnsi" w:hAnsiTheme="minorHAnsi" w:cstheme="minorHAnsi"/>
          <w:sz w:val="22"/>
          <w:szCs w:val="22"/>
        </w:rPr>
        <w:t xml:space="preserve">. </w:t>
      </w:r>
      <w:r w:rsidR="00A17204">
        <w:rPr>
          <w:rFonts w:asciiTheme="minorHAnsi" w:hAnsiTheme="minorHAnsi" w:cstheme="minorHAnsi"/>
          <w:sz w:val="22"/>
          <w:szCs w:val="22"/>
        </w:rPr>
        <w:t xml:space="preserve">Prostate volume was </w:t>
      </w:r>
      <w:r>
        <w:rPr>
          <w:rFonts w:asciiTheme="minorHAnsi" w:hAnsiTheme="minorHAnsi" w:cstheme="minorHAnsi"/>
          <w:sz w:val="22"/>
          <w:szCs w:val="22"/>
        </w:rPr>
        <w:t>calculated using the formula for an ellipse (length x width x height x 0.52)</w:t>
      </w:r>
      <w:r w:rsidR="00A17204">
        <w:rPr>
          <w:rFonts w:asciiTheme="minorHAnsi" w:hAnsiTheme="minorHAnsi" w:cstheme="minorHAnsi"/>
          <w:sz w:val="22"/>
          <w:szCs w:val="22"/>
        </w:rPr>
        <w:t xml:space="preserve">. </w:t>
      </w:r>
    </w:p>
    <w:p w14:paraId="310F2E13" w14:textId="268BE198" w:rsidR="007A1A47" w:rsidRDefault="007A1A47" w:rsidP="00295F5C">
      <w:pPr>
        <w:spacing w:line="480" w:lineRule="auto"/>
        <w:rPr>
          <w:rFonts w:asciiTheme="minorHAnsi" w:hAnsiTheme="minorHAnsi" w:cstheme="minorHAnsi"/>
          <w:i/>
          <w:sz w:val="22"/>
          <w:szCs w:val="22"/>
          <w:u w:val="single"/>
        </w:rPr>
      </w:pPr>
      <w:r>
        <w:rPr>
          <w:rFonts w:asciiTheme="minorHAnsi" w:hAnsiTheme="minorHAnsi" w:cstheme="minorHAnsi"/>
          <w:i/>
          <w:sz w:val="22"/>
          <w:szCs w:val="22"/>
          <w:u w:val="single"/>
        </w:rPr>
        <w:t>Primary Outcome</w:t>
      </w:r>
    </w:p>
    <w:p w14:paraId="62BAD1D7" w14:textId="4D567532" w:rsidR="007A1A47" w:rsidRDefault="007A1A47">
      <w:pPr>
        <w:spacing w:line="480" w:lineRule="auto"/>
        <w:ind w:firstLine="720"/>
        <w:rPr>
          <w:rFonts w:asciiTheme="minorHAnsi" w:hAnsiTheme="minorHAnsi" w:cstheme="minorHAnsi"/>
          <w:sz w:val="22"/>
          <w:szCs w:val="22"/>
        </w:rPr>
      </w:pPr>
      <w:r w:rsidRPr="001F5CEC">
        <w:rPr>
          <w:rFonts w:asciiTheme="minorHAnsi" w:hAnsiTheme="minorHAnsi" w:cstheme="minorHAnsi"/>
          <w:sz w:val="22"/>
          <w:szCs w:val="22"/>
        </w:rPr>
        <w:t>The primary outcome</w:t>
      </w:r>
      <w:r w:rsidR="0004473E">
        <w:rPr>
          <w:rFonts w:asciiTheme="minorHAnsi" w:hAnsiTheme="minorHAnsi" w:cstheme="minorHAnsi"/>
          <w:sz w:val="22"/>
          <w:szCs w:val="22"/>
        </w:rPr>
        <w:t xml:space="preserve"> was</w:t>
      </w:r>
      <w:r w:rsidR="00004328">
        <w:rPr>
          <w:rFonts w:asciiTheme="minorHAnsi" w:hAnsiTheme="minorHAnsi" w:cstheme="minorHAnsi"/>
          <w:sz w:val="22"/>
          <w:szCs w:val="22"/>
        </w:rPr>
        <w:t xml:space="preserve"> </w:t>
      </w:r>
      <w:r w:rsidR="00864949">
        <w:rPr>
          <w:rFonts w:asciiTheme="minorHAnsi" w:hAnsiTheme="minorHAnsi" w:cstheme="minorHAnsi"/>
          <w:sz w:val="22"/>
          <w:szCs w:val="22"/>
        </w:rPr>
        <w:t>in</w:t>
      </w:r>
      <w:r w:rsidR="00004328">
        <w:rPr>
          <w:rFonts w:asciiTheme="minorHAnsi" w:hAnsiTheme="minorHAnsi" w:cstheme="minorHAnsi"/>
          <w:sz w:val="22"/>
          <w:szCs w:val="22"/>
        </w:rPr>
        <w:t>continence at 3-, 6-, and 12-months following RP</w:t>
      </w:r>
      <w:r w:rsidR="000F3131">
        <w:rPr>
          <w:rFonts w:asciiTheme="minorHAnsi" w:hAnsiTheme="minorHAnsi" w:cstheme="minorHAnsi"/>
          <w:sz w:val="22"/>
          <w:szCs w:val="22"/>
        </w:rPr>
        <w:t xml:space="preserve">. </w:t>
      </w:r>
      <w:r w:rsidR="00AF3283">
        <w:rPr>
          <w:rFonts w:asciiTheme="minorHAnsi" w:hAnsiTheme="minorHAnsi" w:cstheme="minorHAnsi"/>
          <w:sz w:val="22"/>
          <w:szCs w:val="22"/>
        </w:rPr>
        <w:t>I</w:t>
      </w:r>
      <w:r w:rsidR="00864949">
        <w:rPr>
          <w:rFonts w:asciiTheme="minorHAnsi" w:hAnsiTheme="minorHAnsi" w:cstheme="minorHAnsi"/>
          <w:sz w:val="22"/>
          <w:szCs w:val="22"/>
        </w:rPr>
        <w:t>n</w:t>
      </w:r>
      <w:r w:rsidR="000F3131">
        <w:rPr>
          <w:rFonts w:asciiTheme="minorHAnsi" w:hAnsiTheme="minorHAnsi" w:cstheme="minorHAnsi"/>
          <w:sz w:val="22"/>
          <w:szCs w:val="22"/>
        </w:rPr>
        <w:t>continence was</w:t>
      </w:r>
      <w:r w:rsidR="00004328">
        <w:rPr>
          <w:rFonts w:asciiTheme="minorHAnsi" w:hAnsiTheme="minorHAnsi" w:cstheme="minorHAnsi"/>
          <w:sz w:val="22"/>
          <w:szCs w:val="22"/>
        </w:rPr>
        <w:t xml:space="preserve"> assessed using the prospectively reported short form EPIC-26 questionnaire</w:t>
      </w:r>
      <w:r w:rsidR="00864949">
        <w:rPr>
          <w:rFonts w:asciiTheme="minorHAnsi" w:hAnsiTheme="minorHAnsi" w:cstheme="minorHAnsi"/>
          <w:sz w:val="22"/>
          <w:szCs w:val="22"/>
        </w:rPr>
        <w:t xml:space="preserve">, question 3, and </w:t>
      </w:r>
      <w:r w:rsidR="00004328">
        <w:rPr>
          <w:rFonts w:asciiTheme="minorHAnsi" w:hAnsiTheme="minorHAnsi" w:cstheme="minorHAnsi"/>
          <w:sz w:val="22"/>
          <w:szCs w:val="22"/>
        </w:rPr>
        <w:t xml:space="preserve">was defined as </w:t>
      </w:r>
      <w:r w:rsidR="00864949">
        <w:rPr>
          <w:rFonts w:asciiTheme="minorHAnsi" w:hAnsiTheme="minorHAnsi" w:cstheme="minorHAnsi"/>
          <w:sz w:val="22"/>
          <w:szCs w:val="22"/>
        </w:rPr>
        <w:t>use of</w:t>
      </w:r>
      <w:r w:rsidR="00AF3283">
        <w:rPr>
          <w:rFonts w:asciiTheme="minorHAnsi" w:hAnsiTheme="minorHAnsi" w:cstheme="minorHAnsi"/>
          <w:sz w:val="22"/>
          <w:szCs w:val="22"/>
        </w:rPr>
        <w:t xml:space="preserve"> adult diapers or</w:t>
      </w:r>
      <w:r w:rsidR="00004328">
        <w:rPr>
          <w:rFonts w:asciiTheme="minorHAnsi" w:hAnsiTheme="minorHAnsi" w:cstheme="minorHAnsi"/>
          <w:sz w:val="22"/>
          <w:szCs w:val="22"/>
        </w:rPr>
        <w:t xml:space="preserve"> </w:t>
      </w:r>
      <w:r w:rsidR="00864949">
        <w:rPr>
          <w:rFonts w:asciiTheme="minorHAnsi" w:hAnsiTheme="minorHAnsi" w:cstheme="minorHAnsi"/>
          <w:sz w:val="22"/>
          <w:szCs w:val="22"/>
        </w:rPr>
        <w:t xml:space="preserve">greater than </w:t>
      </w:r>
      <w:r w:rsidR="00004328">
        <w:rPr>
          <w:rFonts w:asciiTheme="minorHAnsi" w:hAnsiTheme="minorHAnsi" w:cstheme="minorHAnsi"/>
          <w:sz w:val="22"/>
          <w:szCs w:val="22"/>
        </w:rPr>
        <w:t xml:space="preserve">1 </w:t>
      </w:r>
      <w:r w:rsidR="00AF3283">
        <w:rPr>
          <w:rFonts w:asciiTheme="minorHAnsi" w:hAnsiTheme="minorHAnsi" w:cstheme="minorHAnsi"/>
          <w:sz w:val="22"/>
          <w:szCs w:val="22"/>
        </w:rPr>
        <w:t xml:space="preserve">urinary </w:t>
      </w:r>
      <w:r w:rsidR="00004328">
        <w:rPr>
          <w:rFonts w:asciiTheme="minorHAnsi" w:hAnsiTheme="minorHAnsi" w:cstheme="minorHAnsi"/>
          <w:sz w:val="22"/>
          <w:szCs w:val="22"/>
        </w:rPr>
        <w:t>pad</w:t>
      </w:r>
      <w:r w:rsidR="00AF3283">
        <w:rPr>
          <w:rFonts w:asciiTheme="minorHAnsi" w:hAnsiTheme="minorHAnsi" w:cstheme="minorHAnsi"/>
          <w:sz w:val="22"/>
          <w:szCs w:val="22"/>
        </w:rPr>
        <w:t xml:space="preserve"> per day</w:t>
      </w:r>
      <w:r w:rsidR="00004328">
        <w:rPr>
          <w:rFonts w:asciiTheme="minorHAnsi" w:hAnsiTheme="minorHAnsi" w:cstheme="minorHAnsi"/>
          <w:sz w:val="22"/>
          <w:szCs w:val="22"/>
        </w:rPr>
        <w:t>.</w:t>
      </w:r>
    </w:p>
    <w:p w14:paraId="0421BEEF" w14:textId="16D2D3AC" w:rsidR="00295F5C" w:rsidRPr="001F5CEC" w:rsidRDefault="00295F5C" w:rsidP="00295F5C">
      <w:pPr>
        <w:spacing w:line="480" w:lineRule="auto"/>
        <w:rPr>
          <w:rFonts w:asciiTheme="minorHAnsi" w:hAnsiTheme="minorHAnsi" w:cstheme="minorHAnsi"/>
          <w:i/>
          <w:sz w:val="22"/>
          <w:szCs w:val="22"/>
          <w:u w:val="single"/>
        </w:rPr>
      </w:pPr>
      <w:r w:rsidRPr="001F5CEC">
        <w:rPr>
          <w:rFonts w:asciiTheme="minorHAnsi" w:hAnsiTheme="minorHAnsi" w:cstheme="minorHAnsi"/>
          <w:i/>
          <w:sz w:val="22"/>
          <w:szCs w:val="22"/>
          <w:u w:val="single"/>
        </w:rPr>
        <w:t xml:space="preserve">Statistical Analysis </w:t>
      </w:r>
    </w:p>
    <w:p w14:paraId="6BB9E809" w14:textId="314BA507" w:rsidR="00A17204" w:rsidRDefault="00A17204" w:rsidP="00721713">
      <w:pPr>
        <w:spacing w:line="480" w:lineRule="auto"/>
        <w:rPr>
          <w:rFonts w:asciiTheme="minorHAnsi" w:hAnsiTheme="minorHAnsi" w:cstheme="minorHAnsi"/>
          <w:sz w:val="22"/>
          <w:szCs w:val="22"/>
        </w:rPr>
      </w:pPr>
      <w:r>
        <w:rPr>
          <w:rFonts w:asciiTheme="minorHAnsi" w:hAnsiTheme="minorHAnsi" w:cstheme="minorHAnsi"/>
          <w:sz w:val="22"/>
          <w:szCs w:val="22"/>
        </w:rPr>
        <w:tab/>
        <w:t xml:space="preserve">Logistic regression models </w:t>
      </w:r>
      <w:r w:rsidR="000F3131">
        <w:rPr>
          <w:rFonts w:asciiTheme="minorHAnsi" w:hAnsiTheme="minorHAnsi" w:cstheme="minorHAnsi"/>
          <w:sz w:val="22"/>
          <w:szCs w:val="22"/>
        </w:rPr>
        <w:t xml:space="preserve">including clinical variables (e.g., patient age, grade group) and MR-based anatomic measures of continence </w:t>
      </w:r>
      <w:r w:rsidR="00D40DAC">
        <w:rPr>
          <w:rFonts w:asciiTheme="minorHAnsi" w:hAnsiTheme="minorHAnsi" w:cstheme="minorHAnsi"/>
          <w:sz w:val="22"/>
          <w:szCs w:val="22"/>
        </w:rPr>
        <w:t>(e.g., coronal MU</w:t>
      </w:r>
      <w:r w:rsidR="00260272">
        <w:rPr>
          <w:rFonts w:asciiTheme="minorHAnsi" w:hAnsiTheme="minorHAnsi" w:cstheme="minorHAnsi"/>
          <w:sz w:val="22"/>
          <w:szCs w:val="22"/>
        </w:rPr>
        <w:t>L</w:t>
      </w:r>
      <w:r w:rsidR="00D40DAC">
        <w:rPr>
          <w:rFonts w:asciiTheme="minorHAnsi" w:hAnsiTheme="minorHAnsi" w:cstheme="minorHAnsi"/>
          <w:sz w:val="22"/>
          <w:szCs w:val="22"/>
        </w:rPr>
        <w:t xml:space="preserve">, inner </w:t>
      </w:r>
      <w:r w:rsidR="001D6A83">
        <w:rPr>
          <w:rFonts w:asciiTheme="minorHAnsi" w:hAnsiTheme="minorHAnsi" w:cstheme="minorHAnsi"/>
          <w:sz w:val="22"/>
          <w:szCs w:val="22"/>
        </w:rPr>
        <w:t>levator distance</w:t>
      </w:r>
      <w:r w:rsidR="00D40DAC">
        <w:rPr>
          <w:rFonts w:asciiTheme="minorHAnsi" w:hAnsiTheme="minorHAnsi" w:cstheme="minorHAnsi"/>
          <w:sz w:val="22"/>
          <w:szCs w:val="22"/>
        </w:rPr>
        <w:t xml:space="preserve">) </w:t>
      </w:r>
      <w:r w:rsidR="000F3131">
        <w:rPr>
          <w:rFonts w:asciiTheme="minorHAnsi" w:hAnsiTheme="minorHAnsi" w:cstheme="minorHAnsi"/>
          <w:sz w:val="22"/>
          <w:szCs w:val="22"/>
        </w:rPr>
        <w:t>were develope</w:t>
      </w:r>
      <w:r w:rsidR="009C634B">
        <w:rPr>
          <w:rFonts w:asciiTheme="minorHAnsi" w:hAnsiTheme="minorHAnsi" w:cstheme="minorHAnsi"/>
          <w:sz w:val="22"/>
          <w:szCs w:val="22"/>
        </w:rPr>
        <w:t>d</w:t>
      </w:r>
      <w:r w:rsidR="000F3131">
        <w:rPr>
          <w:rFonts w:asciiTheme="minorHAnsi" w:hAnsiTheme="minorHAnsi" w:cstheme="minorHAnsi"/>
          <w:sz w:val="22"/>
          <w:szCs w:val="22"/>
        </w:rPr>
        <w:t xml:space="preserve"> at 3-, 6-, and 12-months post-RP. </w:t>
      </w:r>
      <w:r>
        <w:rPr>
          <w:rFonts w:asciiTheme="minorHAnsi" w:hAnsiTheme="minorHAnsi" w:cstheme="minorHAnsi"/>
          <w:sz w:val="22"/>
          <w:szCs w:val="22"/>
        </w:rPr>
        <w:t>We compared models using baseline clinical variables alone</w:t>
      </w:r>
      <w:r w:rsidRPr="00EA4360">
        <w:rPr>
          <w:rFonts w:asciiTheme="minorHAnsi" w:hAnsiTheme="minorHAnsi" w:cstheme="minorHAnsi"/>
          <w:sz w:val="22"/>
          <w:szCs w:val="22"/>
        </w:rPr>
        <w:t>,</w:t>
      </w:r>
      <w:r>
        <w:rPr>
          <w:rFonts w:asciiTheme="minorHAnsi" w:hAnsiTheme="minorHAnsi" w:cstheme="minorHAnsi"/>
          <w:sz w:val="22"/>
          <w:szCs w:val="22"/>
        </w:rPr>
        <w:t xml:space="preserve"> MRI variables alone, and combined clinical and MRI variables. Sagittal MUL was not used in </w:t>
      </w:r>
      <w:r w:rsidR="00EA4360">
        <w:rPr>
          <w:rFonts w:asciiTheme="minorHAnsi" w:hAnsiTheme="minorHAnsi" w:cstheme="minorHAnsi"/>
          <w:sz w:val="22"/>
          <w:szCs w:val="22"/>
        </w:rPr>
        <w:t xml:space="preserve">the models </w:t>
      </w:r>
      <w:r w:rsidR="00D40DAC">
        <w:rPr>
          <w:rFonts w:asciiTheme="minorHAnsi" w:hAnsiTheme="minorHAnsi" w:cstheme="minorHAnsi"/>
          <w:sz w:val="22"/>
          <w:szCs w:val="22"/>
        </w:rPr>
        <w:t>because it was</w:t>
      </w:r>
      <w:r w:rsidR="00EA4360">
        <w:rPr>
          <w:rFonts w:asciiTheme="minorHAnsi" w:hAnsiTheme="minorHAnsi" w:cstheme="minorHAnsi"/>
          <w:sz w:val="22"/>
          <w:szCs w:val="22"/>
        </w:rPr>
        <w:t xml:space="preserve"> colinear with coronal MUL</w:t>
      </w:r>
      <w:r w:rsidR="003C6E9E">
        <w:rPr>
          <w:rFonts w:asciiTheme="minorHAnsi" w:hAnsiTheme="minorHAnsi" w:cstheme="minorHAnsi"/>
          <w:sz w:val="22"/>
          <w:szCs w:val="22"/>
        </w:rPr>
        <w:t xml:space="preserve"> </w:t>
      </w:r>
      <w:r w:rsidR="00D40DAC">
        <w:rPr>
          <w:rFonts w:asciiTheme="minorHAnsi" w:hAnsiTheme="minorHAnsi" w:cstheme="minorHAnsi"/>
          <w:sz w:val="22"/>
          <w:szCs w:val="22"/>
        </w:rPr>
        <w:t xml:space="preserve">(i.e., it measured the same structure), </w:t>
      </w:r>
      <w:r w:rsidR="003C6E9E">
        <w:rPr>
          <w:rFonts w:asciiTheme="minorHAnsi" w:hAnsiTheme="minorHAnsi" w:cstheme="minorHAnsi"/>
          <w:sz w:val="22"/>
          <w:szCs w:val="22"/>
        </w:rPr>
        <w:t>and the coronal measure is more commonly reported in the literature</w:t>
      </w:r>
      <w:r w:rsidR="00EA4360">
        <w:rPr>
          <w:rFonts w:asciiTheme="minorHAnsi" w:hAnsiTheme="minorHAnsi" w:cstheme="minorHAnsi"/>
          <w:sz w:val="22"/>
          <w:szCs w:val="22"/>
        </w:rPr>
        <w:t xml:space="preserve">. </w:t>
      </w:r>
      <w:r w:rsidR="00196CBA">
        <w:rPr>
          <w:rFonts w:asciiTheme="minorHAnsi" w:hAnsiTheme="minorHAnsi" w:cstheme="minorHAnsi"/>
          <w:sz w:val="22"/>
          <w:szCs w:val="22"/>
        </w:rPr>
        <w:t xml:space="preserve">It was evaluated for inter-rater agreement. </w:t>
      </w:r>
      <w:r>
        <w:rPr>
          <w:rFonts w:asciiTheme="minorHAnsi" w:hAnsiTheme="minorHAnsi" w:cstheme="minorHAnsi"/>
          <w:sz w:val="22"/>
          <w:szCs w:val="22"/>
        </w:rPr>
        <w:t>We assessed model discrimination using</w:t>
      </w:r>
      <w:r w:rsidR="00AF3283">
        <w:rPr>
          <w:rFonts w:asciiTheme="minorHAnsi" w:hAnsiTheme="minorHAnsi" w:cstheme="minorHAnsi"/>
          <w:sz w:val="22"/>
          <w:szCs w:val="22"/>
        </w:rPr>
        <w:t xml:space="preserve"> the</w:t>
      </w:r>
      <w:r>
        <w:rPr>
          <w:rFonts w:asciiTheme="minorHAnsi" w:hAnsiTheme="minorHAnsi" w:cstheme="minorHAnsi"/>
          <w:sz w:val="22"/>
          <w:szCs w:val="22"/>
        </w:rPr>
        <w:t xml:space="preserve"> c-statistic. </w:t>
      </w:r>
      <w:r w:rsidR="00F314A2">
        <w:rPr>
          <w:rFonts w:asciiTheme="minorHAnsi" w:hAnsiTheme="minorHAnsi" w:cstheme="minorHAnsi"/>
          <w:sz w:val="22"/>
          <w:szCs w:val="22"/>
        </w:rPr>
        <w:t xml:space="preserve">DeLong’s test was used to compare c-statistics </w:t>
      </w:r>
      <w:r w:rsidR="00D40DAC">
        <w:rPr>
          <w:rFonts w:asciiTheme="minorHAnsi" w:hAnsiTheme="minorHAnsi" w:cstheme="minorHAnsi"/>
          <w:sz w:val="22"/>
          <w:szCs w:val="22"/>
        </w:rPr>
        <w:lastRenderedPageBreak/>
        <w:t>between the three models at each time point</w:t>
      </w:r>
      <w:r w:rsidR="007A5A30">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{"citationItems":[{"id":"ITEM-1","itemData":{"DOI":"10.2307/2531595","ISSN":"0006341X","PMID":"3203132","abstract":"Methods of evaluating and comparing the performance of diagnostic tests are of increasing importance as new tests are developed and marketed. When a test is based on an observed variable that lies on a continuous or graded scale, an assessment of the overall value of the test can be made through the use of a receiver operating characteristic (ROC) curve. The curve is constructed by varying the cutpoint used to determine which values of the observed variable will be considered abnormal and then plotting the resulting sensitivities against the corresponding false positive rates. When two or more empirical curves are constructed based on tests performed on the same individuals, statistical analysis on differences between curves must take into account the correlated nature of the data. This paper presents a nonparametric approach to the analysis of areas under correlated ROC curves, by using the theory on generalized U-statistics to generate an estimated covariance matrix.","author":[{"dropping-particle":"","family":"DeLong","given":"Elizabeth R.","non-dropping-particle":"","parse-names":false,"suffix":""},{"dropping-particle":"","family":"DeLong","given":"David M.","non-dropping-particle":"","parse-names":false,"suffix":""},{"dropping-particle":"","family":"Clarke-Pearson","given":"Daniel L.","non-dropping-particle":"","parse-names":false,"suffix":""}],"container-title":"Biometrics","id":"ITEM-1","issue":"3","issued":{"date-parts":[["1988","9"]]},"page":"837","publisher":"JSTOR","title":"Comparing the Areas under Two or More Correlated Receiver Operating Characteristic Curves: A Nonparametric Approach","type":"article-journal","volume":"44"},"uris":["http://www.mendeley.com/documents/?uuid=29179ed1-0d32-30cd-b01e-1007853f6df5"]}],"mendeley":{"formattedCitation":"&lt;sup&gt;35&lt;/sup&gt;","plainTextFormattedCitation":"35","previouslyFormattedCitation":"&lt;sup&gt;34&lt;/sup&gt;"},"properties":{"noteIndex":0},"schema":"https://github.com/citation-style-language/schema/raw/master/csl-citation.json"}</w:instrText>
      </w:r>
      <w:r w:rsidR="007A5A30">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35</w:t>
      </w:r>
      <w:r w:rsidR="007A5A30">
        <w:rPr>
          <w:rFonts w:asciiTheme="minorHAnsi" w:hAnsiTheme="minorHAnsi" w:cstheme="minorHAnsi"/>
          <w:sz w:val="22"/>
          <w:szCs w:val="22"/>
        </w:rPr>
        <w:fldChar w:fldCharType="end"/>
      </w:r>
      <w:r w:rsidR="00F314A2">
        <w:rPr>
          <w:rFonts w:asciiTheme="minorHAnsi" w:hAnsiTheme="minorHAnsi" w:cstheme="minorHAnsi"/>
          <w:sz w:val="22"/>
          <w:szCs w:val="22"/>
        </w:rPr>
        <w:t xml:space="preserve">. </w:t>
      </w:r>
      <w:r w:rsidR="003A0645">
        <w:rPr>
          <w:rFonts w:asciiTheme="minorHAnsi" w:hAnsiTheme="minorHAnsi" w:cstheme="minorHAnsi"/>
          <w:sz w:val="22"/>
          <w:szCs w:val="22"/>
        </w:rPr>
        <w:t xml:space="preserve">A p-value of less than 0.05 was used for significance. </w:t>
      </w:r>
      <w:r w:rsidR="007A5A30">
        <w:rPr>
          <w:rFonts w:asciiTheme="minorHAnsi" w:hAnsiTheme="minorHAnsi" w:cstheme="minorHAnsi"/>
          <w:sz w:val="22"/>
          <w:szCs w:val="22"/>
        </w:rPr>
        <w:t>Statistical analyses of the regression models were all performed using R-3.6.0</w:t>
      </w:r>
      <w:r w:rsidR="003A0645">
        <w:rPr>
          <w:rFonts w:asciiTheme="minorHAnsi" w:hAnsiTheme="minorHAnsi" w:cstheme="minorHAnsi"/>
          <w:sz w:val="22"/>
          <w:szCs w:val="22"/>
        </w:rPr>
        <w:t xml:space="preserve"> (R Core Team, Vienna, Austria)</w:t>
      </w:r>
      <w:r w:rsidR="007A5A30">
        <w:rPr>
          <w:rFonts w:asciiTheme="minorHAnsi" w:hAnsiTheme="minorHAnsi" w:cstheme="minorHAnsi"/>
          <w:sz w:val="22"/>
          <w:szCs w:val="22"/>
        </w:rPr>
        <w:t xml:space="preserve">. </w:t>
      </w:r>
    </w:p>
    <w:p w14:paraId="2C9DD389" w14:textId="0BE4F64A" w:rsidR="00721713" w:rsidRDefault="00D40DAC" w:rsidP="00E02FE5">
      <w:pPr>
        <w:spacing w:line="480" w:lineRule="auto"/>
        <w:ind w:firstLine="720"/>
        <w:rPr>
          <w:rFonts w:asciiTheme="minorHAnsi" w:hAnsiTheme="minorHAnsi" w:cstheme="minorHAnsi"/>
          <w:sz w:val="22"/>
          <w:szCs w:val="22"/>
        </w:rPr>
      </w:pPr>
      <w:r>
        <w:rPr>
          <w:rFonts w:asciiTheme="minorHAnsi" w:hAnsiTheme="minorHAnsi" w:cstheme="minorHAnsi"/>
          <w:sz w:val="22"/>
          <w:szCs w:val="22"/>
        </w:rPr>
        <w:t>Interrater agreement was assessed using intraclass correlation coefficients (ICC</w:t>
      </w:r>
      <w:r w:rsidR="00DD6D9B">
        <w:rPr>
          <w:rFonts w:asciiTheme="minorHAnsi" w:hAnsiTheme="minorHAnsi" w:cstheme="minorHAnsi"/>
          <w:sz w:val="22"/>
          <w:szCs w:val="22"/>
        </w:rPr>
        <w:t xml:space="preserve">). ICCs were calculated with </w:t>
      </w:r>
      <w:r>
        <w:rPr>
          <w:rFonts w:asciiTheme="minorHAnsi" w:hAnsiTheme="minorHAnsi" w:cstheme="minorHAnsi"/>
          <w:sz w:val="22"/>
          <w:szCs w:val="22"/>
        </w:rPr>
        <w:t>2-way</w:t>
      </w:r>
      <w:r w:rsidR="00DD6D9B">
        <w:rPr>
          <w:rFonts w:asciiTheme="minorHAnsi" w:hAnsiTheme="minorHAnsi" w:cstheme="minorHAnsi"/>
          <w:sz w:val="22"/>
          <w:szCs w:val="22"/>
        </w:rPr>
        <w:t xml:space="preserve"> random</w:t>
      </w:r>
      <w:r>
        <w:rPr>
          <w:rFonts w:asciiTheme="minorHAnsi" w:hAnsiTheme="minorHAnsi" w:cstheme="minorHAnsi"/>
          <w:sz w:val="22"/>
          <w:szCs w:val="22"/>
        </w:rPr>
        <w:t>, single measure</w:t>
      </w:r>
      <w:r w:rsidR="00DD6D9B">
        <w:rPr>
          <w:rFonts w:asciiTheme="minorHAnsi" w:hAnsiTheme="minorHAnsi" w:cstheme="minorHAnsi"/>
          <w:sz w:val="22"/>
          <w:szCs w:val="22"/>
        </w:rPr>
        <w:t xml:space="preserve"> for </w:t>
      </w:r>
      <w:r>
        <w:rPr>
          <w:rFonts w:asciiTheme="minorHAnsi" w:hAnsiTheme="minorHAnsi" w:cstheme="minorHAnsi"/>
          <w:sz w:val="22"/>
          <w:szCs w:val="22"/>
        </w:rPr>
        <w:t>absolute agreement</w:t>
      </w:r>
      <w:r w:rsidR="00DD6D9B">
        <w:rPr>
          <w:rFonts w:asciiTheme="minorHAnsi" w:hAnsiTheme="minorHAnsi" w:cstheme="minorHAnsi"/>
          <w:sz w:val="22"/>
          <w:szCs w:val="22"/>
        </w:rPr>
        <w:t xml:space="preserve"> for retrospective research measures, and 1-way random, single measures for absolute agreement when comparing research measures to clinical measures</w:t>
      </w:r>
      <w:r w:rsidR="00657717">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{"citationItems":[{"id":"ITEM-1","itemData":{"DOI":"10.15200/winn.143518.81744","author":[{"dropping-particle":"","family":"Landers","given":"Richard","non-dropping-particle":"","parse-names":false,"suffix":""}],"container-title":"The Winnower","id":"ITEM-1","issued":{"date-parts":[["2015","6","9"]]},"title":"Computing Intraclass Correlations (ICC) as Estimates of Interrater Reliability in SPSS","type":"article-journal"},"uris":["http://www.mendeley.com/documents/?uuid=efb45efb-db59-32b0-b41e-10298dc4faf0"]}],"mendeley":{"formattedCitation":"&lt;sup&gt;36&lt;/sup&gt;","plainTextFormattedCitation":"36","previouslyFormattedCitation":"&lt;sup&gt;35&lt;/sup&gt;"},"properties":{"noteIndex":0},"schema":"https://github.com/citation-style-language/schema/raw/master/csl-citation.json"}</w:instrText>
      </w:r>
      <w:r w:rsidR="00657717">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36</w:t>
      </w:r>
      <w:r w:rsidR="00657717">
        <w:rPr>
          <w:rFonts w:asciiTheme="minorHAnsi" w:hAnsiTheme="minorHAnsi" w:cstheme="minorHAnsi"/>
          <w:sz w:val="22"/>
          <w:szCs w:val="22"/>
        </w:rPr>
        <w:fldChar w:fldCharType="end"/>
      </w:r>
      <w:r w:rsidR="00DD6D9B">
        <w:rPr>
          <w:rFonts w:asciiTheme="minorHAnsi" w:hAnsiTheme="minorHAnsi" w:cstheme="minorHAnsi"/>
          <w:sz w:val="22"/>
          <w:szCs w:val="22"/>
        </w:rPr>
        <w:t xml:space="preserve">. </w:t>
      </w:r>
      <w:r w:rsidR="00EA4360">
        <w:rPr>
          <w:rFonts w:asciiTheme="minorHAnsi" w:hAnsiTheme="minorHAnsi" w:cstheme="minorHAnsi"/>
          <w:sz w:val="22"/>
          <w:szCs w:val="22"/>
        </w:rPr>
        <w:t>ICC</w:t>
      </w:r>
      <w:r>
        <w:rPr>
          <w:rFonts w:asciiTheme="minorHAnsi" w:hAnsiTheme="minorHAnsi" w:cstheme="minorHAnsi"/>
          <w:sz w:val="22"/>
          <w:szCs w:val="22"/>
        </w:rPr>
        <w:t>s</w:t>
      </w:r>
      <w:r w:rsidR="00EA4360">
        <w:rPr>
          <w:rFonts w:asciiTheme="minorHAnsi" w:hAnsiTheme="minorHAnsi" w:cstheme="minorHAnsi"/>
          <w:sz w:val="22"/>
          <w:szCs w:val="22"/>
        </w:rPr>
        <w:t xml:space="preserve"> </w:t>
      </w:r>
      <w:r>
        <w:rPr>
          <w:rFonts w:asciiTheme="minorHAnsi" w:hAnsiTheme="minorHAnsi" w:cstheme="minorHAnsi"/>
          <w:sz w:val="22"/>
          <w:szCs w:val="22"/>
        </w:rPr>
        <w:t>were</w:t>
      </w:r>
      <w:r w:rsidRPr="001F5CEC">
        <w:rPr>
          <w:rFonts w:asciiTheme="minorHAnsi" w:hAnsiTheme="minorHAnsi" w:cstheme="minorHAnsi"/>
          <w:sz w:val="22"/>
          <w:szCs w:val="22"/>
        </w:rPr>
        <w:t xml:space="preserve"> </w:t>
      </w:r>
      <w:r w:rsidR="00D64043" w:rsidRPr="001F5CEC">
        <w:rPr>
          <w:rFonts w:asciiTheme="minorHAnsi" w:hAnsiTheme="minorHAnsi" w:cstheme="minorHAnsi"/>
          <w:sz w:val="22"/>
          <w:szCs w:val="22"/>
        </w:rPr>
        <w:t>calculated</w:t>
      </w:r>
      <w:r w:rsidR="00721713">
        <w:rPr>
          <w:rFonts w:asciiTheme="minorHAnsi" w:hAnsiTheme="minorHAnsi" w:cstheme="minorHAnsi"/>
          <w:sz w:val="22"/>
          <w:szCs w:val="22"/>
        </w:rPr>
        <w:t xml:space="preserve"> </w:t>
      </w:r>
      <w:r>
        <w:rPr>
          <w:rFonts w:asciiTheme="minorHAnsi" w:hAnsiTheme="minorHAnsi" w:cstheme="minorHAnsi"/>
          <w:sz w:val="22"/>
          <w:szCs w:val="22"/>
        </w:rPr>
        <w:t xml:space="preserve">for </w:t>
      </w:r>
      <w:r w:rsidR="00EA4360">
        <w:rPr>
          <w:rFonts w:asciiTheme="minorHAnsi" w:hAnsiTheme="minorHAnsi" w:cstheme="minorHAnsi"/>
          <w:sz w:val="22"/>
          <w:szCs w:val="22"/>
        </w:rPr>
        <w:t xml:space="preserve">the 4 </w:t>
      </w:r>
      <w:r>
        <w:rPr>
          <w:rFonts w:asciiTheme="minorHAnsi" w:hAnsiTheme="minorHAnsi" w:cstheme="minorHAnsi"/>
          <w:sz w:val="22"/>
          <w:szCs w:val="22"/>
        </w:rPr>
        <w:t>trained radiologists</w:t>
      </w:r>
      <w:r w:rsidR="00EA4360">
        <w:rPr>
          <w:rFonts w:asciiTheme="minorHAnsi" w:hAnsiTheme="minorHAnsi" w:cstheme="minorHAnsi"/>
          <w:sz w:val="22"/>
          <w:szCs w:val="22"/>
        </w:rPr>
        <w:t xml:space="preserve"> for the overlapping 20 cases for </w:t>
      </w:r>
      <w:r w:rsidR="00D64043" w:rsidRPr="001F5CEC">
        <w:rPr>
          <w:rFonts w:asciiTheme="minorHAnsi" w:hAnsiTheme="minorHAnsi" w:cstheme="minorHAnsi"/>
          <w:sz w:val="22"/>
          <w:szCs w:val="22"/>
        </w:rPr>
        <w:t xml:space="preserve">all retrospectively gathered </w:t>
      </w:r>
      <w:r w:rsidR="0016259B">
        <w:rPr>
          <w:rFonts w:asciiTheme="minorHAnsi" w:hAnsiTheme="minorHAnsi" w:cstheme="minorHAnsi"/>
          <w:sz w:val="22"/>
          <w:szCs w:val="22"/>
        </w:rPr>
        <w:t>variables</w:t>
      </w:r>
      <w:r w:rsidR="00B516A1">
        <w:rPr>
          <w:rFonts w:asciiTheme="minorHAnsi" w:hAnsiTheme="minorHAnsi" w:cstheme="minorHAnsi"/>
          <w:sz w:val="22"/>
          <w:szCs w:val="22"/>
        </w:rPr>
        <w:t xml:space="preserve">. </w:t>
      </w:r>
      <w:r w:rsidR="00AC065B">
        <w:rPr>
          <w:rFonts w:asciiTheme="minorHAnsi" w:hAnsiTheme="minorHAnsi" w:cstheme="minorHAnsi"/>
          <w:sz w:val="22"/>
          <w:szCs w:val="22"/>
        </w:rPr>
        <w:t xml:space="preserve">An a priori </w:t>
      </w:r>
      <w:r w:rsidR="00B536F4">
        <w:rPr>
          <w:rFonts w:asciiTheme="minorHAnsi" w:hAnsiTheme="minorHAnsi" w:cstheme="minorHAnsi"/>
          <w:sz w:val="22"/>
          <w:szCs w:val="22"/>
        </w:rPr>
        <w:t>sample size</w:t>
      </w:r>
      <w:r w:rsidR="00AC065B">
        <w:rPr>
          <w:rFonts w:asciiTheme="minorHAnsi" w:hAnsiTheme="minorHAnsi" w:cstheme="minorHAnsi"/>
          <w:sz w:val="22"/>
          <w:szCs w:val="22"/>
        </w:rPr>
        <w:t xml:space="preserve"> calculation determined </w:t>
      </w:r>
      <w:r w:rsidR="00042695">
        <w:rPr>
          <w:rFonts w:asciiTheme="minorHAnsi" w:hAnsiTheme="minorHAnsi" w:cstheme="minorHAnsi"/>
          <w:sz w:val="22"/>
          <w:szCs w:val="22"/>
        </w:rPr>
        <w:t xml:space="preserve">that to detect an ICC of at least 0.3, </w:t>
      </w:r>
      <w:r w:rsidR="00AC065B">
        <w:rPr>
          <w:rFonts w:asciiTheme="minorHAnsi" w:hAnsiTheme="minorHAnsi" w:cstheme="minorHAnsi"/>
          <w:sz w:val="22"/>
          <w:szCs w:val="22"/>
        </w:rPr>
        <w:t xml:space="preserve">an overlap of </w:t>
      </w:r>
      <w:r w:rsidR="00B536F4">
        <w:rPr>
          <w:rFonts w:asciiTheme="minorHAnsi" w:hAnsiTheme="minorHAnsi" w:cstheme="minorHAnsi"/>
          <w:sz w:val="22"/>
          <w:szCs w:val="22"/>
        </w:rPr>
        <w:t xml:space="preserve">20 </w:t>
      </w:r>
      <w:r w:rsidR="00AC065B">
        <w:rPr>
          <w:rFonts w:asciiTheme="minorHAnsi" w:hAnsiTheme="minorHAnsi" w:cstheme="minorHAnsi"/>
          <w:sz w:val="22"/>
          <w:szCs w:val="22"/>
        </w:rPr>
        <w:t xml:space="preserve">cases </w:t>
      </w:r>
      <w:r w:rsidR="00042695">
        <w:rPr>
          <w:rFonts w:asciiTheme="minorHAnsi" w:hAnsiTheme="minorHAnsi" w:cstheme="minorHAnsi"/>
          <w:sz w:val="22"/>
          <w:szCs w:val="22"/>
        </w:rPr>
        <w:t xml:space="preserve">was needed </w:t>
      </w:r>
      <w:r w:rsidR="00B536F4">
        <w:rPr>
          <w:rFonts w:asciiTheme="minorHAnsi" w:hAnsiTheme="minorHAnsi" w:cstheme="minorHAnsi"/>
          <w:sz w:val="22"/>
          <w:szCs w:val="22"/>
        </w:rPr>
        <w:t>to achieve 90% power and alpha 0.05</w:t>
      </w:r>
      <w:r w:rsidR="00E3399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{"citationItems":[{"id":"ITEM-1","itemData":{"abstract":"Intraclass correlation coefficient (ICC) measures the extent of agreement and consistency among raters for two or more numerical or quantitative variables. This review paper aimed to present several tables that could illustrate the minimum sample sizes required for estimating the desired effect size of ICC, which is a measurement of the magnitude of an agreement. Determination of the minimum sample size under such circumstances is based on the two fundamentally important parameters, namely the actual value of the ICC and the number of observations made by each subject. The sample size calculations are derived from Power Analysis and Sample Size (PASS) software where the alpha and minimum required power is fixed at 0.05 and higher than 0.80 respectively. A discussion on how to use these tables for determining sample sizes required for each of the various scenarios and the limitations associated with their use in each of these scenarios is provided.","author":[{"dropping-particle":"","family":"Bujang","given":"Mohamad Adam","non-dropping-particle":"","parse-names":false,"suffix":""},{"dropping-particle":"","family":"Baharum","given":"Nurakmal","non-dropping-particle":"","parse-names":false,"suffix":""}],"container-title":"Archives of Orofacial Sciences The Journal of the School of Dental Sciences, USM Arch Orofac Sci","id":"ITEM-1","issue":"1","issued":{"date-parts":[["2017"]]},"number-of-pages":"1-11","title":"A simplified guide to determination of sample size requirements for estimating the value of intraclass correlation coefficient: a review","type":"report","volume":"12"},"uris":["http://www.mendeley.com/documents/?uuid=3459e6f5-ad82-3039-ba7b-c1f327939572"]}],"mendeley":{"formattedCitation":"&lt;sup&gt;37&lt;/sup&gt;","plainTextFormattedCitation":"37","previouslyFormattedCitation":"&lt;sup&gt;36&lt;/sup&gt;"},"properties":{"noteIndex":0},"schema":"https://github.com/citation-style-language/schema/raw/master/csl-citation.json"}</w:instrText>
      </w:r>
      <w:r w:rsidR="00E3399A">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37</w:t>
      </w:r>
      <w:r w:rsidR="00E3399A">
        <w:rPr>
          <w:rFonts w:asciiTheme="minorHAnsi" w:hAnsiTheme="minorHAnsi" w:cstheme="minorHAnsi"/>
          <w:sz w:val="22"/>
          <w:szCs w:val="22"/>
        </w:rPr>
        <w:fldChar w:fldCharType="end"/>
      </w:r>
      <w:r w:rsidR="001D6A83">
        <w:rPr>
          <w:rFonts w:asciiTheme="minorHAnsi" w:hAnsiTheme="minorHAnsi" w:cstheme="minorHAnsi"/>
          <w:sz w:val="22"/>
          <w:szCs w:val="22"/>
        </w:rPr>
        <w:t>.</w:t>
      </w:r>
      <w:r w:rsidR="00B536F4">
        <w:rPr>
          <w:rFonts w:asciiTheme="minorHAnsi" w:hAnsiTheme="minorHAnsi" w:cstheme="minorHAnsi"/>
          <w:sz w:val="22"/>
          <w:szCs w:val="22"/>
        </w:rPr>
        <w:t xml:space="preserve"> </w:t>
      </w:r>
      <w:r w:rsidR="00B516A1">
        <w:rPr>
          <w:rFonts w:asciiTheme="minorHAnsi" w:hAnsiTheme="minorHAnsi" w:cstheme="minorHAnsi"/>
          <w:sz w:val="22"/>
          <w:szCs w:val="22"/>
        </w:rPr>
        <w:t xml:space="preserve">Agreement was also calculated between the </w:t>
      </w:r>
      <w:r w:rsidR="00721713">
        <w:rPr>
          <w:rFonts w:asciiTheme="minorHAnsi" w:hAnsiTheme="minorHAnsi" w:cstheme="minorHAnsi"/>
          <w:sz w:val="22"/>
          <w:szCs w:val="22"/>
        </w:rPr>
        <w:t xml:space="preserve">prospectively reported </w:t>
      </w:r>
      <w:r w:rsidR="00B516A1">
        <w:rPr>
          <w:rFonts w:asciiTheme="minorHAnsi" w:hAnsiTheme="minorHAnsi" w:cstheme="minorHAnsi"/>
          <w:sz w:val="22"/>
          <w:szCs w:val="22"/>
        </w:rPr>
        <w:t xml:space="preserve">MUL </w:t>
      </w:r>
      <w:r>
        <w:rPr>
          <w:rFonts w:asciiTheme="minorHAnsi" w:hAnsiTheme="minorHAnsi" w:cstheme="minorHAnsi"/>
          <w:sz w:val="22"/>
          <w:szCs w:val="22"/>
        </w:rPr>
        <w:t xml:space="preserve">(reader was trained or untrained, measurement made as part of clinical care) </w:t>
      </w:r>
      <w:r w:rsidR="00721713">
        <w:rPr>
          <w:rFonts w:asciiTheme="minorHAnsi" w:hAnsiTheme="minorHAnsi" w:cstheme="minorHAnsi"/>
          <w:sz w:val="22"/>
          <w:szCs w:val="22"/>
        </w:rPr>
        <w:t xml:space="preserve">and </w:t>
      </w:r>
      <w:r>
        <w:rPr>
          <w:rFonts w:asciiTheme="minorHAnsi" w:hAnsiTheme="minorHAnsi" w:cstheme="minorHAnsi"/>
          <w:sz w:val="22"/>
          <w:szCs w:val="22"/>
        </w:rPr>
        <w:t xml:space="preserve">the </w:t>
      </w:r>
      <w:r w:rsidR="00B516A1">
        <w:rPr>
          <w:rFonts w:asciiTheme="minorHAnsi" w:hAnsiTheme="minorHAnsi" w:cstheme="minorHAnsi"/>
          <w:sz w:val="22"/>
          <w:szCs w:val="22"/>
        </w:rPr>
        <w:t xml:space="preserve">retrospectively </w:t>
      </w:r>
      <w:r>
        <w:rPr>
          <w:rFonts w:asciiTheme="minorHAnsi" w:hAnsiTheme="minorHAnsi" w:cstheme="minorHAnsi"/>
          <w:sz w:val="22"/>
          <w:szCs w:val="22"/>
        </w:rPr>
        <w:t xml:space="preserve">measured </w:t>
      </w:r>
      <w:r w:rsidR="00B516A1">
        <w:rPr>
          <w:rFonts w:asciiTheme="minorHAnsi" w:hAnsiTheme="minorHAnsi" w:cstheme="minorHAnsi"/>
          <w:sz w:val="22"/>
          <w:szCs w:val="22"/>
        </w:rPr>
        <w:t xml:space="preserve">MUL </w:t>
      </w:r>
      <w:r>
        <w:rPr>
          <w:rFonts w:asciiTheme="minorHAnsi" w:hAnsiTheme="minorHAnsi" w:cstheme="minorHAnsi"/>
          <w:sz w:val="22"/>
          <w:szCs w:val="22"/>
        </w:rPr>
        <w:t>(trained blinded reader from this study)</w:t>
      </w:r>
      <w:r w:rsidR="00B516A1">
        <w:rPr>
          <w:rFonts w:asciiTheme="minorHAnsi" w:hAnsiTheme="minorHAnsi" w:cstheme="minorHAnsi"/>
          <w:sz w:val="22"/>
          <w:szCs w:val="22"/>
        </w:rPr>
        <w:t xml:space="preserve">. </w:t>
      </w:r>
      <w:r w:rsidR="007A5A30">
        <w:rPr>
          <w:rFonts w:asciiTheme="minorHAnsi" w:hAnsiTheme="minorHAnsi" w:cstheme="minorHAnsi"/>
          <w:sz w:val="22"/>
          <w:szCs w:val="22"/>
        </w:rPr>
        <w:t>ICC analysis was performed using SPSS</w:t>
      </w:r>
      <w:r w:rsidR="003A0645">
        <w:rPr>
          <w:rFonts w:asciiTheme="minorHAnsi" w:hAnsiTheme="minorHAnsi" w:cstheme="minorHAnsi"/>
          <w:sz w:val="22"/>
          <w:szCs w:val="22"/>
        </w:rPr>
        <w:t xml:space="preserve"> (IBM SPSS Statistics for Macintosh, Version 27.0, Armonk, NY)</w:t>
      </w:r>
      <w:r w:rsidR="007A5A30">
        <w:rPr>
          <w:rFonts w:asciiTheme="minorHAnsi" w:hAnsiTheme="minorHAnsi" w:cstheme="minorHAnsi"/>
          <w:sz w:val="22"/>
          <w:szCs w:val="22"/>
        </w:rPr>
        <w:t xml:space="preserve">. </w:t>
      </w:r>
    </w:p>
    <w:p w14:paraId="17038AA9" w14:textId="77777777" w:rsidR="002722B1" w:rsidRDefault="002722B1" w:rsidP="00295F5C">
      <w:pPr>
        <w:spacing w:line="480" w:lineRule="auto"/>
        <w:rPr>
          <w:rFonts w:asciiTheme="minorHAnsi" w:hAnsiTheme="minorHAnsi" w:cstheme="minorHAnsi"/>
          <w:b/>
          <w:sz w:val="22"/>
          <w:szCs w:val="22"/>
        </w:rPr>
      </w:pPr>
    </w:p>
    <w:p w14:paraId="69B97307" w14:textId="580A1CE6" w:rsidR="00295F5C" w:rsidRPr="001F5CEC" w:rsidRDefault="00295F5C" w:rsidP="00295F5C">
      <w:pPr>
        <w:spacing w:line="480" w:lineRule="auto"/>
        <w:rPr>
          <w:rFonts w:asciiTheme="minorHAnsi" w:hAnsiTheme="minorHAnsi" w:cstheme="minorHAnsi"/>
          <w:b/>
          <w:sz w:val="22"/>
          <w:szCs w:val="22"/>
        </w:rPr>
      </w:pPr>
      <w:r w:rsidRPr="001F5CEC">
        <w:rPr>
          <w:rFonts w:asciiTheme="minorHAnsi" w:hAnsiTheme="minorHAnsi" w:cstheme="minorHAnsi"/>
          <w:b/>
          <w:sz w:val="22"/>
          <w:szCs w:val="22"/>
        </w:rPr>
        <w:t xml:space="preserve">Results </w:t>
      </w:r>
    </w:p>
    <w:p w14:paraId="6065CE2E" w14:textId="5FC9867B" w:rsidR="00295F5C" w:rsidRDefault="00295F5C" w:rsidP="00295F5C">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CA259C">
        <w:rPr>
          <w:rFonts w:asciiTheme="minorHAnsi" w:hAnsiTheme="minorHAnsi" w:cstheme="minorHAnsi"/>
          <w:sz w:val="22"/>
          <w:szCs w:val="22"/>
        </w:rPr>
        <w:t>The study population is described</w:t>
      </w:r>
      <w:r w:rsidR="00C96867">
        <w:rPr>
          <w:rFonts w:asciiTheme="minorHAnsi" w:hAnsiTheme="minorHAnsi" w:cstheme="minorHAnsi"/>
          <w:sz w:val="22"/>
          <w:szCs w:val="22"/>
        </w:rPr>
        <w:t xml:space="preserve"> in Table </w:t>
      </w:r>
      <w:r w:rsidR="00AE1FE9">
        <w:rPr>
          <w:rFonts w:asciiTheme="minorHAnsi" w:hAnsiTheme="minorHAnsi" w:cstheme="minorHAnsi"/>
          <w:sz w:val="22"/>
          <w:szCs w:val="22"/>
        </w:rPr>
        <w:t xml:space="preserve">1. Due to </w:t>
      </w:r>
      <w:r w:rsidR="00CA259C">
        <w:rPr>
          <w:rFonts w:asciiTheme="minorHAnsi" w:hAnsiTheme="minorHAnsi" w:cstheme="minorHAnsi"/>
          <w:sz w:val="22"/>
          <w:szCs w:val="22"/>
        </w:rPr>
        <w:t>variable data availability</w:t>
      </w:r>
      <w:r w:rsidR="00AE1FE9">
        <w:rPr>
          <w:rFonts w:asciiTheme="minorHAnsi" w:hAnsiTheme="minorHAnsi" w:cstheme="minorHAnsi"/>
          <w:sz w:val="22"/>
          <w:szCs w:val="22"/>
        </w:rPr>
        <w:t xml:space="preserve"> at each time point, subsets of the </w:t>
      </w:r>
      <w:r w:rsidR="00CA259C">
        <w:rPr>
          <w:rFonts w:asciiTheme="minorHAnsi" w:hAnsiTheme="minorHAnsi" w:cstheme="minorHAnsi"/>
          <w:sz w:val="22"/>
          <w:szCs w:val="22"/>
        </w:rPr>
        <w:t>entire population</w:t>
      </w:r>
      <w:r w:rsidR="00AE1FE9">
        <w:rPr>
          <w:rFonts w:asciiTheme="minorHAnsi" w:hAnsiTheme="minorHAnsi" w:cstheme="minorHAnsi"/>
          <w:sz w:val="22"/>
          <w:szCs w:val="22"/>
        </w:rPr>
        <w:t xml:space="preserve"> were used in each model. The median EPIC</w:t>
      </w:r>
      <w:r w:rsidR="00AF3283">
        <w:rPr>
          <w:rFonts w:asciiTheme="minorHAnsi" w:hAnsiTheme="minorHAnsi" w:cstheme="minorHAnsi"/>
          <w:sz w:val="22"/>
          <w:szCs w:val="22"/>
        </w:rPr>
        <w:t>-26</w:t>
      </w:r>
      <w:r w:rsidR="00AE1FE9">
        <w:rPr>
          <w:rFonts w:asciiTheme="minorHAnsi" w:hAnsiTheme="minorHAnsi" w:cstheme="minorHAnsi"/>
          <w:sz w:val="22"/>
          <w:szCs w:val="22"/>
        </w:rPr>
        <w:t xml:space="preserve"> urinary function baseline score in our study population was 100. </w:t>
      </w:r>
      <w:r w:rsidR="00AF3283">
        <w:rPr>
          <w:rFonts w:asciiTheme="minorHAnsi" w:hAnsiTheme="minorHAnsi" w:cstheme="minorHAnsi"/>
          <w:sz w:val="22"/>
          <w:szCs w:val="22"/>
        </w:rPr>
        <w:t xml:space="preserve">Based on our definition, only one patient </w:t>
      </w:r>
      <w:r w:rsidR="00042695">
        <w:rPr>
          <w:rFonts w:asciiTheme="minorHAnsi" w:hAnsiTheme="minorHAnsi" w:cstheme="minorHAnsi"/>
          <w:sz w:val="22"/>
          <w:szCs w:val="22"/>
        </w:rPr>
        <w:t xml:space="preserve">(0.2%) </w:t>
      </w:r>
      <w:r w:rsidR="00AF3283">
        <w:rPr>
          <w:rFonts w:asciiTheme="minorHAnsi" w:hAnsiTheme="minorHAnsi" w:cstheme="minorHAnsi"/>
          <w:sz w:val="22"/>
          <w:szCs w:val="22"/>
        </w:rPr>
        <w:t xml:space="preserve">was incontinent at baseline prior to surgery. </w:t>
      </w:r>
      <w:r w:rsidR="00CB4DD6">
        <w:rPr>
          <w:rFonts w:asciiTheme="minorHAnsi" w:hAnsiTheme="minorHAnsi" w:cstheme="minorHAnsi"/>
          <w:sz w:val="22"/>
          <w:szCs w:val="22"/>
        </w:rPr>
        <w:t>The proportion of</w:t>
      </w:r>
      <w:r w:rsidR="00DD6D9B">
        <w:rPr>
          <w:rFonts w:asciiTheme="minorHAnsi" w:hAnsiTheme="minorHAnsi" w:cstheme="minorHAnsi"/>
          <w:sz w:val="22"/>
          <w:szCs w:val="22"/>
        </w:rPr>
        <w:t xml:space="preserve"> </w:t>
      </w:r>
      <w:r w:rsidR="00CB4DD6">
        <w:rPr>
          <w:rFonts w:asciiTheme="minorHAnsi" w:hAnsiTheme="minorHAnsi" w:cstheme="minorHAnsi"/>
          <w:sz w:val="22"/>
          <w:szCs w:val="22"/>
        </w:rPr>
        <w:t>incontinent patients was 27.4% at 3 months, 13.5% at 6 months, and 8.7% at 12 months.</w:t>
      </w:r>
    </w:p>
    <w:p w14:paraId="229388EA" w14:textId="795759C4" w:rsidR="008741A0" w:rsidRDefault="00AE1FE9" w:rsidP="00295F5C">
      <w:pPr>
        <w:spacing w:line="480" w:lineRule="auto"/>
        <w:rPr>
          <w:rFonts w:asciiTheme="minorHAnsi" w:hAnsiTheme="minorHAnsi" w:cstheme="minorHAnsi"/>
          <w:sz w:val="22"/>
          <w:szCs w:val="22"/>
        </w:rPr>
      </w:pPr>
      <w:r>
        <w:rPr>
          <w:rFonts w:asciiTheme="minorHAnsi" w:hAnsiTheme="minorHAnsi" w:cstheme="minorHAnsi"/>
          <w:sz w:val="22"/>
          <w:szCs w:val="22"/>
        </w:rPr>
        <w:tab/>
      </w:r>
      <w:r w:rsidR="001B293C">
        <w:rPr>
          <w:rFonts w:asciiTheme="minorHAnsi" w:hAnsiTheme="minorHAnsi" w:cstheme="minorHAnsi"/>
          <w:sz w:val="22"/>
          <w:szCs w:val="22"/>
        </w:rPr>
        <w:t>U</w:t>
      </w:r>
      <w:r>
        <w:rPr>
          <w:rFonts w:asciiTheme="minorHAnsi" w:hAnsiTheme="minorHAnsi" w:cstheme="minorHAnsi"/>
          <w:sz w:val="22"/>
          <w:szCs w:val="22"/>
        </w:rPr>
        <w:t xml:space="preserve">nivariable and multivariable analyses </w:t>
      </w:r>
      <w:r w:rsidR="00F17B2D">
        <w:rPr>
          <w:rFonts w:asciiTheme="minorHAnsi" w:hAnsiTheme="minorHAnsi" w:cstheme="minorHAnsi"/>
          <w:sz w:val="22"/>
          <w:szCs w:val="22"/>
        </w:rPr>
        <w:t>for clinical variables alone, MRI variables alone, and combined clinical and MRI variables are reported at 3-, 6-, and 12-months post-</w:t>
      </w:r>
      <w:r w:rsidR="0036376D">
        <w:rPr>
          <w:rFonts w:asciiTheme="minorHAnsi" w:hAnsiTheme="minorHAnsi" w:cstheme="minorHAnsi"/>
          <w:sz w:val="22"/>
          <w:szCs w:val="22"/>
        </w:rPr>
        <w:t>RP</w:t>
      </w:r>
      <w:r w:rsidR="00F17B2D">
        <w:rPr>
          <w:rFonts w:asciiTheme="minorHAnsi" w:hAnsiTheme="minorHAnsi" w:cstheme="minorHAnsi"/>
          <w:sz w:val="22"/>
          <w:szCs w:val="22"/>
        </w:rPr>
        <w:t xml:space="preserve"> (Tables 2-4, respectively). </w:t>
      </w:r>
      <w:r w:rsidR="008741A0">
        <w:rPr>
          <w:rFonts w:asciiTheme="minorHAnsi" w:hAnsiTheme="minorHAnsi" w:cstheme="minorHAnsi"/>
          <w:sz w:val="22"/>
          <w:szCs w:val="22"/>
        </w:rPr>
        <w:t xml:space="preserve">At </w:t>
      </w:r>
      <w:r w:rsidR="000E6976">
        <w:rPr>
          <w:rFonts w:asciiTheme="minorHAnsi" w:hAnsiTheme="minorHAnsi" w:cstheme="minorHAnsi"/>
          <w:sz w:val="22"/>
          <w:szCs w:val="22"/>
        </w:rPr>
        <w:t>each time point</w:t>
      </w:r>
      <w:r w:rsidR="008741A0">
        <w:rPr>
          <w:rFonts w:asciiTheme="minorHAnsi" w:hAnsiTheme="minorHAnsi" w:cstheme="minorHAnsi"/>
          <w:sz w:val="22"/>
          <w:szCs w:val="22"/>
        </w:rPr>
        <w:t xml:space="preserve">, and in both the MRI alone and combined multivariable models, </w:t>
      </w:r>
      <w:r w:rsidR="00042695">
        <w:rPr>
          <w:rFonts w:asciiTheme="minorHAnsi" w:hAnsiTheme="minorHAnsi" w:cstheme="minorHAnsi"/>
          <w:sz w:val="22"/>
          <w:szCs w:val="22"/>
        </w:rPr>
        <w:t xml:space="preserve">a longer </w:t>
      </w:r>
      <w:r w:rsidR="008741A0">
        <w:rPr>
          <w:rFonts w:asciiTheme="minorHAnsi" w:hAnsiTheme="minorHAnsi" w:cstheme="minorHAnsi"/>
          <w:sz w:val="22"/>
          <w:szCs w:val="22"/>
        </w:rPr>
        <w:t xml:space="preserve">coronal MUL </w:t>
      </w:r>
      <w:r w:rsidR="00042695">
        <w:rPr>
          <w:rFonts w:asciiTheme="minorHAnsi" w:hAnsiTheme="minorHAnsi" w:cstheme="minorHAnsi"/>
          <w:sz w:val="22"/>
          <w:szCs w:val="22"/>
        </w:rPr>
        <w:t>was a significant predictor of post-RP continence (</w:t>
      </w:r>
      <w:r w:rsidR="00BC0CB0">
        <w:rPr>
          <w:rFonts w:asciiTheme="minorHAnsi" w:hAnsiTheme="minorHAnsi" w:cstheme="minorHAnsi"/>
          <w:sz w:val="22"/>
          <w:szCs w:val="22"/>
        </w:rPr>
        <w:t xml:space="preserve">odds ratio (OR) </w:t>
      </w:r>
      <w:r w:rsidR="00042695">
        <w:rPr>
          <w:rFonts w:asciiTheme="minorHAnsi" w:hAnsiTheme="minorHAnsi" w:cstheme="minorHAnsi"/>
          <w:sz w:val="22"/>
          <w:szCs w:val="22"/>
        </w:rPr>
        <w:t>range:</w:t>
      </w:r>
      <w:r w:rsidR="00BC0CB0">
        <w:rPr>
          <w:rFonts w:asciiTheme="minorHAnsi" w:hAnsiTheme="minorHAnsi" w:cstheme="minorHAnsi"/>
          <w:sz w:val="22"/>
          <w:szCs w:val="22"/>
        </w:rPr>
        <w:t xml:space="preserve"> 0.79-0.89 </w:t>
      </w:r>
      <w:r w:rsidR="00BC0CB0">
        <w:rPr>
          <w:rFonts w:asciiTheme="minorHAnsi" w:hAnsiTheme="minorHAnsi" w:cstheme="minorHAnsi"/>
          <w:sz w:val="22"/>
          <w:szCs w:val="22"/>
        </w:rPr>
        <w:lastRenderedPageBreak/>
        <w:t>per mm</w:t>
      </w:r>
      <w:r w:rsidR="00042695">
        <w:rPr>
          <w:rFonts w:asciiTheme="minorHAnsi" w:hAnsiTheme="minorHAnsi" w:cstheme="minorHAnsi"/>
          <w:sz w:val="22"/>
          <w:szCs w:val="22"/>
        </w:rPr>
        <w:t>, p&lt;0.01; smaller OR indicates less likelihood of incontinence)</w:t>
      </w:r>
      <w:r w:rsidR="00BC0CB0">
        <w:rPr>
          <w:rFonts w:asciiTheme="minorHAnsi" w:hAnsiTheme="minorHAnsi" w:cstheme="minorHAnsi"/>
          <w:sz w:val="22"/>
          <w:szCs w:val="22"/>
        </w:rPr>
        <w:t xml:space="preserve">, with effect size strengthening over time (Tables 2-4). </w:t>
      </w:r>
      <w:r w:rsidR="00A575CD">
        <w:rPr>
          <w:rFonts w:asciiTheme="minorHAnsi" w:hAnsiTheme="minorHAnsi" w:cstheme="minorHAnsi"/>
          <w:sz w:val="22"/>
          <w:szCs w:val="22"/>
        </w:rPr>
        <w:t xml:space="preserve">This indicates that a longer pre-operative MUL </w:t>
      </w:r>
      <w:r w:rsidR="000E6976">
        <w:rPr>
          <w:rFonts w:asciiTheme="minorHAnsi" w:hAnsiTheme="minorHAnsi" w:cstheme="minorHAnsi"/>
          <w:sz w:val="22"/>
          <w:szCs w:val="22"/>
        </w:rPr>
        <w:t xml:space="preserve">conferred </w:t>
      </w:r>
      <w:r w:rsidR="00A575CD">
        <w:rPr>
          <w:rFonts w:asciiTheme="minorHAnsi" w:hAnsiTheme="minorHAnsi" w:cstheme="minorHAnsi"/>
          <w:sz w:val="22"/>
          <w:szCs w:val="22"/>
        </w:rPr>
        <w:t>a decreased risk for post-RP incontinence</w:t>
      </w:r>
      <w:r w:rsidR="008741A0">
        <w:rPr>
          <w:rFonts w:asciiTheme="minorHAnsi" w:hAnsiTheme="minorHAnsi" w:cstheme="minorHAnsi"/>
          <w:sz w:val="22"/>
          <w:szCs w:val="22"/>
        </w:rPr>
        <w:t xml:space="preserve">. Increased prostate volume </w:t>
      </w:r>
      <w:r w:rsidR="000E6976">
        <w:rPr>
          <w:rFonts w:asciiTheme="minorHAnsi" w:hAnsiTheme="minorHAnsi" w:cstheme="minorHAnsi"/>
          <w:sz w:val="22"/>
          <w:szCs w:val="22"/>
        </w:rPr>
        <w:t xml:space="preserve">conferred </w:t>
      </w:r>
      <w:r w:rsidR="008741A0">
        <w:rPr>
          <w:rFonts w:asciiTheme="minorHAnsi" w:hAnsiTheme="minorHAnsi" w:cstheme="minorHAnsi"/>
          <w:sz w:val="22"/>
          <w:szCs w:val="22"/>
        </w:rPr>
        <w:t>an increased risk of incontinence at 3-months post-RP</w:t>
      </w:r>
      <w:r w:rsidR="000E6976">
        <w:rPr>
          <w:rFonts w:asciiTheme="minorHAnsi" w:hAnsiTheme="minorHAnsi" w:cstheme="minorHAnsi"/>
          <w:sz w:val="22"/>
          <w:szCs w:val="22"/>
        </w:rPr>
        <w:t>, but</w:t>
      </w:r>
      <w:r w:rsidR="008741A0">
        <w:rPr>
          <w:rFonts w:asciiTheme="minorHAnsi" w:hAnsiTheme="minorHAnsi" w:cstheme="minorHAnsi"/>
          <w:sz w:val="22"/>
          <w:szCs w:val="22"/>
        </w:rPr>
        <w:t xml:space="preserve"> with a small effect size (OR</w:t>
      </w:r>
      <w:r w:rsidR="00260272">
        <w:rPr>
          <w:rFonts w:asciiTheme="minorHAnsi" w:hAnsiTheme="minorHAnsi" w:cstheme="minorHAnsi"/>
          <w:sz w:val="22"/>
          <w:szCs w:val="22"/>
        </w:rPr>
        <w:t>:</w:t>
      </w:r>
      <w:r w:rsidR="008741A0">
        <w:rPr>
          <w:rFonts w:asciiTheme="minorHAnsi" w:hAnsiTheme="minorHAnsi" w:cstheme="minorHAnsi"/>
          <w:sz w:val="22"/>
          <w:szCs w:val="22"/>
        </w:rPr>
        <w:t xml:space="preserve"> 1.01-1.02</w:t>
      </w:r>
      <w:r w:rsidR="000E6976">
        <w:rPr>
          <w:rFonts w:asciiTheme="minorHAnsi" w:hAnsiTheme="minorHAnsi" w:cstheme="minorHAnsi"/>
          <w:sz w:val="22"/>
          <w:szCs w:val="22"/>
        </w:rPr>
        <w:t xml:space="preserve"> per mL</w:t>
      </w:r>
      <w:r w:rsidR="00042695">
        <w:rPr>
          <w:rFonts w:asciiTheme="minorHAnsi" w:hAnsiTheme="minorHAnsi" w:cstheme="minorHAnsi"/>
          <w:sz w:val="22"/>
          <w:szCs w:val="22"/>
        </w:rPr>
        <w:t xml:space="preserve"> gland volume</w:t>
      </w:r>
      <w:r w:rsidR="008741A0">
        <w:rPr>
          <w:rFonts w:asciiTheme="minorHAnsi" w:hAnsiTheme="minorHAnsi" w:cstheme="minorHAnsi"/>
          <w:sz w:val="22"/>
          <w:szCs w:val="22"/>
        </w:rPr>
        <w:t xml:space="preserve">). </w:t>
      </w:r>
      <w:r w:rsidR="000E6976">
        <w:rPr>
          <w:rFonts w:asciiTheme="minorHAnsi" w:hAnsiTheme="minorHAnsi" w:cstheme="minorHAnsi"/>
          <w:sz w:val="22"/>
          <w:szCs w:val="22"/>
        </w:rPr>
        <w:t xml:space="preserve">This </w:t>
      </w:r>
      <w:r w:rsidR="003349D8">
        <w:rPr>
          <w:rFonts w:asciiTheme="minorHAnsi" w:hAnsiTheme="minorHAnsi" w:cstheme="minorHAnsi"/>
          <w:sz w:val="22"/>
          <w:szCs w:val="22"/>
        </w:rPr>
        <w:t>was not</w:t>
      </w:r>
      <w:r w:rsidR="000E6976">
        <w:rPr>
          <w:rFonts w:asciiTheme="minorHAnsi" w:hAnsiTheme="minorHAnsi" w:cstheme="minorHAnsi"/>
          <w:sz w:val="22"/>
          <w:szCs w:val="22"/>
        </w:rPr>
        <w:t xml:space="preserve"> significan</w:t>
      </w:r>
      <w:r w:rsidR="003349D8">
        <w:rPr>
          <w:rFonts w:asciiTheme="minorHAnsi" w:hAnsiTheme="minorHAnsi" w:cstheme="minorHAnsi"/>
          <w:sz w:val="22"/>
          <w:szCs w:val="22"/>
        </w:rPr>
        <w:t>t</w:t>
      </w:r>
      <w:r w:rsidR="000E6976">
        <w:rPr>
          <w:rFonts w:asciiTheme="minorHAnsi" w:hAnsiTheme="minorHAnsi" w:cstheme="minorHAnsi"/>
          <w:sz w:val="22"/>
          <w:szCs w:val="22"/>
        </w:rPr>
        <w:t xml:space="preserve"> at </w:t>
      </w:r>
      <w:r w:rsidR="001D6A83">
        <w:rPr>
          <w:rFonts w:asciiTheme="minorHAnsi" w:hAnsiTheme="minorHAnsi" w:cstheme="minorHAnsi"/>
          <w:sz w:val="22"/>
          <w:szCs w:val="22"/>
        </w:rPr>
        <w:t>6- and 12-months</w:t>
      </w:r>
      <w:r w:rsidR="000E6976">
        <w:rPr>
          <w:rFonts w:asciiTheme="minorHAnsi" w:hAnsiTheme="minorHAnsi" w:cstheme="minorHAnsi"/>
          <w:sz w:val="22"/>
          <w:szCs w:val="22"/>
        </w:rPr>
        <w:t xml:space="preserve"> post-RP</w:t>
      </w:r>
      <w:r w:rsidR="008741A0">
        <w:rPr>
          <w:rFonts w:asciiTheme="minorHAnsi" w:hAnsiTheme="minorHAnsi" w:cstheme="minorHAnsi"/>
          <w:sz w:val="22"/>
          <w:szCs w:val="22"/>
        </w:rPr>
        <w:t xml:space="preserve">. </w:t>
      </w:r>
      <w:r w:rsidR="005E2F6A">
        <w:rPr>
          <w:rFonts w:asciiTheme="minorHAnsi" w:hAnsiTheme="minorHAnsi" w:cstheme="minorHAnsi"/>
          <w:sz w:val="22"/>
          <w:szCs w:val="22"/>
        </w:rPr>
        <w:t>Age</w:t>
      </w:r>
      <w:r w:rsidR="008741A0">
        <w:rPr>
          <w:rFonts w:asciiTheme="minorHAnsi" w:hAnsiTheme="minorHAnsi" w:cstheme="minorHAnsi"/>
          <w:sz w:val="22"/>
          <w:szCs w:val="22"/>
        </w:rPr>
        <w:t xml:space="preserve"> </w:t>
      </w:r>
      <w:r w:rsidR="000E6976">
        <w:rPr>
          <w:rFonts w:asciiTheme="minorHAnsi" w:hAnsiTheme="minorHAnsi" w:cstheme="minorHAnsi"/>
          <w:sz w:val="22"/>
          <w:szCs w:val="22"/>
        </w:rPr>
        <w:t xml:space="preserve">(OR: 1.07-1.12 per year of age) </w:t>
      </w:r>
      <w:r w:rsidR="008741A0">
        <w:rPr>
          <w:rFonts w:asciiTheme="minorHAnsi" w:hAnsiTheme="minorHAnsi" w:cstheme="minorHAnsi"/>
          <w:sz w:val="22"/>
          <w:szCs w:val="22"/>
        </w:rPr>
        <w:t>and the EPIC</w:t>
      </w:r>
      <w:r w:rsidR="003349D8">
        <w:rPr>
          <w:rFonts w:asciiTheme="minorHAnsi" w:hAnsiTheme="minorHAnsi" w:cstheme="minorHAnsi"/>
          <w:sz w:val="22"/>
          <w:szCs w:val="22"/>
        </w:rPr>
        <w:t>-26</w:t>
      </w:r>
      <w:r w:rsidR="008741A0">
        <w:rPr>
          <w:rFonts w:asciiTheme="minorHAnsi" w:hAnsiTheme="minorHAnsi" w:cstheme="minorHAnsi"/>
          <w:sz w:val="22"/>
          <w:szCs w:val="22"/>
        </w:rPr>
        <w:t xml:space="preserve"> urinary baseline score </w:t>
      </w:r>
      <w:r w:rsidR="000E6976">
        <w:rPr>
          <w:rFonts w:asciiTheme="minorHAnsi" w:hAnsiTheme="minorHAnsi" w:cstheme="minorHAnsi"/>
          <w:sz w:val="22"/>
          <w:szCs w:val="22"/>
        </w:rPr>
        <w:t xml:space="preserve">(OR: 0.95-0.98 per point, scale: 1-100) </w:t>
      </w:r>
      <w:r w:rsidR="008741A0">
        <w:rPr>
          <w:rFonts w:asciiTheme="minorHAnsi" w:hAnsiTheme="minorHAnsi" w:cstheme="minorHAnsi"/>
          <w:sz w:val="22"/>
          <w:szCs w:val="22"/>
        </w:rPr>
        <w:t>were the only statistically significant</w:t>
      </w:r>
      <w:r w:rsidR="00BC0CB0">
        <w:rPr>
          <w:rFonts w:asciiTheme="minorHAnsi" w:hAnsiTheme="minorHAnsi" w:cstheme="minorHAnsi"/>
          <w:sz w:val="22"/>
          <w:szCs w:val="22"/>
        </w:rPr>
        <w:t xml:space="preserve"> clinical variables at every time point</w:t>
      </w:r>
      <w:r w:rsidR="005E2F6A">
        <w:rPr>
          <w:rFonts w:asciiTheme="minorHAnsi" w:hAnsiTheme="minorHAnsi" w:cstheme="minorHAnsi"/>
          <w:sz w:val="22"/>
          <w:szCs w:val="22"/>
        </w:rPr>
        <w:t>,</w:t>
      </w:r>
      <w:r w:rsidR="00BC0CB0">
        <w:rPr>
          <w:rFonts w:asciiTheme="minorHAnsi" w:hAnsiTheme="minorHAnsi" w:cstheme="minorHAnsi"/>
          <w:sz w:val="22"/>
          <w:szCs w:val="22"/>
        </w:rPr>
        <w:t xml:space="preserve"> both in the univariable </w:t>
      </w:r>
      <w:r w:rsidR="005E2F6A">
        <w:rPr>
          <w:rFonts w:asciiTheme="minorHAnsi" w:hAnsiTheme="minorHAnsi" w:cstheme="minorHAnsi"/>
          <w:sz w:val="22"/>
          <w:szCs w:val="22"/>
        </w:rPr>
        <w:t>and multivariable clinical models. They were also both significant at every time point in the multivariable combined model</w:t>
      </w:r>
      <w:r w:rsidR="009C634B">
        <w:rPr>
          <w:rFonts w:asciiTheme="minorHAnsi" w:hAnsiTheme="minorHAnsi" w:cstheme="minorHAnsi"/>
          <w:sz w:val="22"/>
          <w:szCs w:val="22"/>
        </w:rPr>
        <w:t>s</w:t>
      </w:r>
      <w:r w:rsidR="005E2F6A">
        <w:rPr>
          <w:rFonts w:asciiTheme="minorHAnsi" w:hAnsiTheme="minorHAnsi" w:cstheme="minorHAnsi"/>
          <w:sz w:val="22"/>
          <w:szCs w:val="22"/>
        </w:rPr>
        <w:t xml:space="preserve">, except for EPIC-26 urinary incontinence baseline domain score at 6-months. </w:t>
      </w:r>
      <w:r w:rsidR="000E6976">
        <w:rPr>
          <w:rFonts w:asciiTheme="minorHAnsi" w:hAnsiTheme="minorHAnsi" w:cstheme="minorHAnsi"/>
          <w:sz w:val="22"/>
          <w:szCs w:val="22"/>
        </w:rPr>
        <w:t>There was greater risk of incontinence with older age and a lower baseline EPIC</w:t>
      </w:r>
      <w:r w:rsidR="003349D8">
        <w:rPr>
          <w:rFonts w:asciiTheme="minorHAnsi" w:hAnsiTheme="minorHAnsi" w:cstheme="minorHAnsi"/>
          <w:sz w:val="22"/>
          <w:szCs w:val="22"/>
        </w:rPr>
        <w:t>-26</w:t>
      </w:r>
      <w:r w:rsidR="000E6976">
        <w:rPr>
          <w:rFonts w:asciiTheme="minorHAnsi" w:hAnsiTheme="minorHAnsi" w:cstheme="minorHAnsi"/>
          <w:sz w:val="22"/>
          <w:szCs w:val="22"/>
        </w:rPr>
        <w:t xml:space="preserve"> urinary</w:t>
      </w:r>
      <w:r w:rsidR="003349D8">
        <w:rPr>
          <w:rFonts w:asciiTheme="minorHAnsi" w:hAnsiTheme="minorHAnsi" w:cstheme="minorHAnsi"/>
          <w:sz w:val="22"/>
          <w:szCs w:val="22"/>
        </w:rPr>
        <w:t xml:space="preserve"> incontinence domain</w:t>
      </w:r>
      <w:r w:rsidR="000E6976">
        <w:rPr>
          <w:rFonts w:asciiTheme="minorHAnsi" w:hAnsiTheme="minorHAnsi" w:cstheme="minorHAnsi"/>
          <w:sz w:val="22"/>
          <w:szCs w:val="22"/>
        </w:rPr>
        <w:t xml:space="preserve"> score</w:t>
      </w:r>
      <w:r w:rsidR="008741A0">
        <w:rPr>
          <w:rFonts w:asciiTheme="minorHAnsi" w:hAnsiTheme="minorHAnsi" w:cstheme="minorHAnsi"/>
          <w:sz w:val="22"/>
          <w:szCs w:val="22"/>
        </w:rPr>
        <w:t xml:space="preserve">. </w:t>
      </w:r>
      <w:r w:rsidR="00042695">
        <w:rPr>
          <w:rFonts w:asciiTheme="minorHAnsi" w:hAnsiTheme="minorHAnsi" w:cstheme="minorHAnsi"/>
          <w:sz w:val="22"/>
          <w:szCs w:val="22"/>
        </w:rPr>
        <w:t>Significant predictors</w:t>
      </w:r>
      <w:r w:rsidR="008741A0">
        <w:rPr>
          <w:rFonts w:asciiTheme="minorHAnsi" w:hAnsiTheme="minorHAnsi" w:cstheme="minorHAnsi"/>
          <w:sz w:val="22"/>
          <w:szCs w:val="22"/>
        </w:rPr>
        <w:t xml:space="preserve"> </w:t>
      </w:r>
      <w:r w:rsidR="000E6976">
        <w:rPr>
          <w:rFonts w:asciiTheme="minorHAnsi" w:hAnsiTheme="minorHAnsi" w:cstheme="minorHAnsi"/>
          <w:sz w:val="22"/>
          <w:szCs w:val="22"/>
        </w:rPr>
        <w:t>at only</w:t>
      </w:r>
      <w:r w:rsidR="008741A0">
        <w:rPr>
          <w:rFonts w:asciiTheme="minorHAnsi" w:hAnsiTheme="minorHAnsi" w:cstheme="minorHAnsi"/>
          <w:sz w:val="22"/>
          <w:szCs w:val="22"/>
        </w:rPr>
        <w:t xml:space="preserve"> one or two </w:t>
      </w:r>
      <w:r w:rsidR="000E6976">
        <w:rPr>
          <w:rFonts w:asciiTheme="minorHAnsi" w:hAnsiTheme="minorHAnsi" w:cstheme="minorHAnsi"/>
          <w:sz w:val="22"/>
          <w:szCs w:val="22"/>
        </w:rPr>
        <w:t xml:space="preserve">time points </w:t>
      </w:r>
      <w:r w:rsidR="008741A0">
        <w:rPr>
          <w:rFonts w:asciiTheme="minorHAnsi" w:hAnsiTheme="minorHAnsi" w:cstheme="minorHAnsi"/>
          <w:sz w:val="22"/>
          <w:szCs w:val="22"/>
        </w:rPr>
        <w:t>include</w:t>
      </w:r>
      <w:r w:rsidR="000E6976">
        <w:rPr>
          <w:rFonts w:asciiTheme="minorHAnsi" w:hAnsiTheme="minorHAnsi" w:cstheme="minorHAnsi"/>
          <w:sz w:val="22"/>
          <w:szCs w:val="22"/>
        </w:rPr>
        <w:t>d</w:t>
      </w:r>
      <w:r w:rsidR="008741A0">
        <w:rPr>
          <w:rFonts w:asciiTheme="minorHAnsi" w:hAnsiTheme="minorHAnsi" w:cstheme="minorHAnsi"/>
          <w:sz w:val="22"/>
          <w:szCs w:val="22"/>
        </w:rPr>
        <w:t xml:space="preserve"> </w:t>
      </w:r>
      <w:r w:rsidR="00E52B52">
        <w:rPr>
          <w:rFonts w:asciiTheme="minorHAnsi" w:hAnsiTheme="minorHAnsi" w:cstheme="minorHAnsi"/>
          <w:sz w:val="22"/>
          <w:szCs w:val="22"/>
        </w:rPr>
        <w:t>inner levator distance at 3 months (univariable</w:t>
      </w:r>
      <w:r w:rsidR="003349D8">
        <w:rPr>
          <w:rFonts w:asciiTheme="minorHAnsi" w:hAnsiTheme="minorHAnsi" w:cstheme="minorHAnsi"/>
          <w:sz w:val="22"/>
          <w:szCs w:val="22"/>
        </w:rPr>
        <w:t xml:space="preserve"> </w:t>
      </w:r>
      <w:r w:rsidR="00E52B52">
        <w:rPr>
          <w:rFonts w:asciiTheme="minorHAnsi" w:hAnsiTheme="minorHAnsi" w:cstheme="minorHAnsi"/>
          <w:sz w:val="22"/>
          <w:szCs w:val="22"/>
        </w:rPr>
        <w:t xml:space="preserve">only), </w:t>
      </w:r>
      <w:r w:rsidR="008741A0">
        <w:rPr>
          <w:rFonts w:asciiTheme="minorHAnsi" w:hAnsiTheme="minorHAnsi" w:cstheme="minorHAnsi"/>
          <w:sz w:val="22"/>
          <w:szCs w:val="22"/>
        </w:rPr>
        <w:t>PIRADS 4 score at 3</w:t>
      </w:r>
      <w:r w:rsidR="007A55A6">
        <w:rPr>
          <w:rFonts w:asciiTheme="minorHAnsi" w:hAnsiTheme="minorHAnsi" w:cstheme="minorHAnsi"/>
          <w:sz w:val="22"/>
          <w:szCs w:val="22"/>
        </w:rPr>
        <w:t xml:space="preserve"> </w:t>
      </w:r>
      <w:r w:rsidR="008741A0">
        <w:rPr>
          <w:rFonts w:asciiTheme="minorHAnsi" w:hAnsiTheme="minorHAnsi" w:cstheme="minorHAnsi"/>
          <w:sz w:val="22"/>
          <w:szCs w:val="22"/>
        </w:rPr>
        <w:t xml:space="preserve">months </w:t>
      </w:r>
      <w:r w:rsidR="000E6976">
        <w:rPr>
          <w:rFonts w:asciiTheme="minorHAnsi" w:hAnsiTheme="minorHAnsi" w:cstheme="minorHAnsi"/>
          <w:sz w:val="22"/>
          <w:szCs w:val="22"/>
        </w:rPr>
        <w:t>(univariable</w:t>
      </w:r>
      <w:r w:rsidR="003349D8">
        <w:rPr>
          <w:rFonts w:asciiTheme="minorHAnsi" w:hAnsiTheme="minorHAnsi" w:cstheme="minorHAnsi"/>
          <w:sz w:val="22"/>
          <w:szCs w:val="22"/>
        </w:rPr>
        <w:t xml:space="preserve"> </w:t>
      </w:r>
      <w:r w:rsidR="000E6976">
        <w:rPr>
          <w:rFonts w:asciiTheme="minorHAnsi" w:hAnsiTheme="minorHAnsi" w:cstheme="minorHAnsi"/>
          <w:sz w:val="22"/>
          <w:szCs w:val="22"/>
        </w:rPr>
        <w:t>only)</w:t>
      </w:r>
      <w:r w:rsidR="008741A0">
        <w:rPr>
          <w:rFonts w:asciiTheme="minorHAnsi" w:hAnsiTheme="minorHAnsi" w:cstheme="minorHAnsi"/>
          <w:sz w:val="22"/>
          <w:szCs w:val="22"/>
        </w:rPr>
        <w:t>, PIRADS 5 score at 6</w:t>
      </w:r>
      <w:r w:rsidR="007A55A6">
        <w:rPr>
          <w:rFonts w:asciiTheme="minorHAnsi" w:hAnsiTheme="minorHAnsi" w:cstheme="minorHAnsi"/>
          <w:sz w:val="22"/>
          <w:szCs w:val="22"/>
        </w:rPr>
        <w:t xml:space="preserve"> </w:t>
      </w:r>
      <w:r w:rsidR="008741A0">
        <w:rPr>
          <w:rFonts w:asciiTheme="minorHAnsi" w:hAnsiTheme="minorHAnsi" w:cstheme="minorHAnsi"/>
          <w:sz w:val="22"/>
          <w:szCs w:val="22"/>
        </w:rPr>
        <w:t xml:space="preserve">months </w:t>
      </w:r>
      <w:r w:rsidR="000E6976">
        <w:rPr>
          <w:rFonts w:asciiTheme="minorHAnsi" w:hAnsiTheme="minorHAnsi" w:cstheme="minorHAnsi"/>
          <w:sz w:val="22"/>
          <w:szCs w:val="22"/>
        </w:rPr>
        <w:t>(</w:t>
      </w:r>
      <w:r w:rsidR="008741A0">
        <w:rPr>
          <w:rFonts w:asciiTheme="minorHAnsi" w:hAnsiTheme="minorHAnsi" w:cstheme="minorHAnsi"/>
          <w:sz w:val="22"/>
          <w:szCs w:val="22"/>
        </w:rPr>
        <w:t xml:space="preserve">combined </w:t>
      </w:r>
      <w:r w:rsidR="000E6976">
        <w:rPr>
          <w:rFonts w:asciiTheme="minorHAnsi" w:hAnsiTheme="minorHAnsi" w:cstheme="minorHAnsi"/>
          <w:sz w:val="22"/>
          <w:szCs w:val="22"/>
        </w:rPr>
        <w:t xml:space="preserve">multivariable </w:t>
      </w:r>
      <w:r w:rsidR="008741A0">
        <w:rPr>
          <w:rFonts w:asciiTheme="minorHAnsi" w:hAnsiTheme="minorHAnsi" w:cstheme="minorHAnsi"/>
          <w:sz w:val="22"/>
          <w:szCs w:val="22"/>
        </w:rPr>
        <w:t>only</w:t>
      </w:r>
      <w:r w:rsidR="000E6976">
        <w:rPr>
          <w:rFonts w:asciiTheme="minorHAnsi" w:hAnsiTheme="minorHAnsi" w:cstheme="minorHAnsi"/>
          <w:sz w:val="22"/>
          <w:szCs w:val="22"/>
        </w:rPr>
        <w:t>)</w:t>
      </w:r>
      <w:r w:rsidR="008741A0">
        <w:rPr>
          <w:rFonts w:asciiTheme="minorHAnsi" w:hAnsiTheme="minorHAnsi" w:cstheme="minorHAnsi"/>
          <w:sz w:val="22"/>
          <w:szCs w:val="22"/>
        </w:rPr>
        <w:t>, EPIC</w:t>
      </w:r>
      <w:r w:rsidR="003349D8">
        <w:rPr>
          <w:rFonts w:asciiTheme="minorHAnsi" w:hAnsiTheme="minorHAnsi" w:cstheme="minorHAnsi"/>
          <w:sz w:val="22"/>
          <w:szCs w:val="22"/>
        </w:rPr>
        <w:t>-26</w:t>
      </w:r>
      <w:r w:rsidR="008741A0">
        <w:rPr>
          <w:rFonts w:asciiTheme="minorHAnsi" w:hAnsiTheme="minorHAnsi" w:cstheme="minorHAnsi"/>
          <w:sz w:val="22"/>
          <w:szCs w:val="22"/>
        </w:rPr>
        <w:t xml:space="preserve"> sexual baseline score at 3 and 6</w:t>
      </w:r>
      <w:r w:rsidR="007A55A6">
        <w:rPr>
          <w:rFonts w:asciiTheme="minorHAnsi" w:hAnsiTheme="minorHAnsi" w:cstheme="minorHAnsi"/>
          <w:sz w:val="22"/>
          <w:szCs w:val="22"/>
        </w:rPr>
        <w:t xml:space="preserve"> </w:t>
      </w:r>
      <w:r w:rsidR="008741A0">
        <w:rPr>
          <w:rFonts w:asciiTheme="minorHAnsi" w:hAnsiTheme="minorHAnsi" w:cstheme="minorHAnsi"/>
          <w:sz w:val="22"/>
          <w:szCs w:val="22"/>
        </w:rPr>
        <w:t xml:space="preserve">months </w:t>
      </w:r>
      <w:r w:rsidR="000E6976">
        <w:rPr>
          <w:rFonts w:asciiTheme="minorHAnsi" w:hAnsiTheme="minorHAnsi" w:cstheme="minorHAnsi"/>
          <w:sz w:val="22"/>
          <w:szCs w:val="22"/>
        </w:rPr>
        <w:t>(univariable only)</w:t>
      </w:r>
      <w:r w:rsidR="008741A0">
        <w:rPr>
          <w:rFonts w:asciiTheme="minorHAnsi" w:hAnsiTheme="minorHAnsi" w:cstheme="minorHAnsi"/>
          <w:sz w:val="22"/>
          <w:szCs w:val="22"/>
        </w:rPr>
        <w:t xml:space="preserve">, and grade group 3 at 6 months </w:t>
      </w:r>
      <w:r w:rsidR="007A55A6">
        <w:rPr>
          <w:rFonts w:asciiTheme="minorHAnsi" w:hAnsiTheme="minorHAnsi" w:cstheme="minorHAnsi"/>
          <w:sz w:val="22"/>
          <w:szCs w:val="22"/>
        </w:rPr>
        <w:t>(</w:t>
      </w:r>
      <w:r w:rsidR="008741A0">
        <w:rPr>
          <w:rFonts w:asciiTheme="minorHAnsi" w:hAnsiTheme="minorHAnsi" w:cstheme="minorHAnsi"/>
          <w:sz w:val="22"/>
          <w:szCs w:val="22"/>
        </w:rPr>
        <w:t xml:space="preserve">multivariable clinical and combined </w:t>
      </w:r>
      <w:r w:rsidR="007A55A6">
        <w:rPr>
          <w:rFonts w:asciiTheme="minorHAnsi" w:hAnsiTheme="minorHAnsi" w:cstheme="minorHAnsi"/>
          <w:sz w:val="22"/>
          <w:szCs w:val="22"/>
        </w:rPr>
        <w:t>only) [Tables 2-4]</w:t>
      </w:r>
      <w:r w:rsidR="008741A0">
        <w:rPr>
          <w:rFonts w:asciiTheme="minorHAnsi" w:hAnsiTheme="minorHAnsi" w:cstheme="minorHAnsi"/>
          <w:sz w:val="22"/>
          <w:szCs w:val="22"/>
        </w:rPr>
        <w:t xml:space="preserve">. </w:t>
      </w:r>
    </w:p>
    <w:p w14:paraId="4AE0B007" w14:textId="231D0B72" w:rsidR="00961361" w:rsidRDefault="00F17B2D" w:rsidP="008741A0">
      <w:pPr>
        <w:spacing w:line="480" w:lineRule="auto"/>
        <w:ind w:firstLine="720"/>
        <w:rPr>
          <w:rFonts w:asciiTheme="minorHAnsi" w:hAnsiTheme="minorHAnsi" w:cstheme="minorHAnsi"/>
          <w:sz w:val="22"/>
          <w:szCs w:val="22"/>
        </w:rPr>
      </w:pPr>
      <w:r>
        <w:rPr>
          <w:rFonts w:asciiTheme="minorHAnsi" w:hAnsiTheme="minorHAnsi" w:cstheme="minorHAnsi"/>
          <w:sz w:val="22"/>
          <w:szCs w:val="22"/>
        </w:rPr>
        <w:t>Table 5</w:t>
      </w:r>
      <w:r w:rsidR="00C738B9">
        <w:rPr>
          <w:rFonts w:asciiTheme="minorHAnsi" w:hAnsiTheme="minorHAnsi" w:cstheme="minorHAnsi"/>
          <w:sz w:val="22"/>
          <w:szCs w:val="22"/>
        </w:rPr>
        <w:t xml:space="preserve"> (supplemental materials)</w:t>
      </w:r>
      <w:r>
        <w:rPr>
          <w:rFonts w:asciiTheme="minorHAnsi" w:hAnsiTheme="minorHAnsi" w:cstheme="minorHAnsi"/>
          <w:sz w:val="22"/>
          <w:szCs w:val="22"/>
        </w:rPr>
        <w:t xml:space="preserve"> </w:t>
      </w:r>
      <w:r w:rsidR="008741A0">
        <w:rPr>
          <w:rFonts w:asciiTheme="minorHAnsi" w:hAnsiTheme="minorHAnsi" w:cstheme="minorHAnsi"/>
          <w:sz w:val="22"/>
          <w:szCs w:val="22"/>
        </w:rPr>
        <w:t>compares</w:t>
      </w:r>
      <w:r>
        <w:rPr>
          <w:rFonts w:asciiTheme="minorHAnsi" w:hAnsiTheme="minorHAnsi" w:cstheme="minorHAnsi"/>
          <w:sz w:val="22"/>
          <w:szCs w:val="22"/>
        </w:rPr>
        <w:t xml:space="preserve"> the model</w:t>
      </w:r>
      <w:r w:rsidR="00CC1ECE">
        <w:rPr>
          <w:rFonts w:asciiTheme="minorHAnsi" w:hAnsiTheme="minorHAnsi" w:cstheme="minorHAnsi"/>
          <w:sz w:val="22"/>
          <w:szCs w:val="22"/>
        </w:rPr>
        <w:t xml:space="preserve"> c-statistics</w:t>
      </w:r>
      <w:r>
        <w:rPr>
          <w:rFonts w:asciiTheme="minorHAnsi" w:hAnsiTheme="minorHAnsi" w:cstheme="minorHAnsi"/>
          <w:sz w:val="22"/>
          <w:szCs w:val="22"/>
        </w:rPr>
        <w:t xml:space="preserve"> at each</w:t>
      </w:r>
      <w:r w:rsidR="008741A0">
        <w:rPr>
          <w:rFonts w:asciiTheme="minorHAnsi" w:hAnsiTheme="minorHAnsi" w:cstheme="minorHAnsi"/>
          <w:sz w:val="22"/>
          <w:szCs w:val="22"/>
        </w:rPr>
        <w:t xml:space="preserve"> </w:t>
      </w:r>
      <w:r w:rsidR="007D38A9">
        <w:rPr>
          <w:rFonts w:asciiTheme="minorHAnsi" w:hAnsiTheme="minorHAnsi" w:cstheme="minorHAnsi"/>
          <w:sz w:val="22"/>
          <w:szCs w:val="22"/>
        </w:rPr>
        <w:t>time point</w:t>
      </w:r>
      <w:r>
        <w:rPr>
          <w:rFonts w:asciiTheme="minorHAnsi" w:hAnsiTheme="minorHAnsi" w:cstheme="minorHAnsi"/>
          <w:sz w:val="22"/>
          <w:szCs w:val="22"/>
        </w:rPr>
        <w:t xml:space="preserve">. </w:t>
      </w:r>
      <w:r w:rsidR="007D38A9">
        <w:rPr>
          <w:rFonts w:asciiTheme="minorHAnsi" w:hAnsiTheme="minorHAnsi" w:cstheme="minorHAnsi"/>
          <w:sz w:val="22"/>
          <w:szCs w:val="22"/>
        </w:rPr>
        <w:t>The combined models had higher discriminatory ability than either the clinical-only or MRI-only models at all three time points, but those differences were not statistically significant</w:t>
      </w:r>
      <w:r w:rsidR="00CC1ECE">
        <w:rPr>
          <w:rFonts w:asciiTheme="minorHAnsi" w:hAnsiTheme="minorHAnsi" w:cstheme="minorHAnsi"/>
          <w:sz w:val="22"/>
          <w:szCs w:val="22"/>
        </w:rPr>
        <w:t xml:space="preserve">. </w:t>
      </w:r>
      <w:r w:rsidR="001F5F4F">
        <w:rPr>
          <w:rFonts w:asciiTheme="minorHAnsi" w:hAnsiTheme="minorHAnsi" w:cstheme="minorHAnsi"/>
          <w:sz w:val="22"/>
          <w:szCs w:val="22"/>
        </w:rPr>
        <w:t>The discriminatory function of the combined models improved over time: 0.7</w:t>
      </w:r>
      <w:r w:rsidR="00E52B52">
        <w:rPr>
          <w:rFonts w:asciiTheme="minorHAnsi" w:hAnsiTheme="minorHAnsi" w:cstheme="minorHAnsi"/>
          <w:sz w:val="22"/>
          <w:szCs w:val="22"/>
        </w:rPr>
        <w:t>5</w:t>
      </w:r>
      <w:r w:rsidR="001F5F4F">
        <w:rPr>
          <w:rFonts w:asciiTheme="minorHAnsi" w:hAnsiTheme="minorHAnsi" w:cstheme="minorHAnsi"/>
          <w:sz w:val="22"/>
          <w:szCs w:val="22"/>
        </w:rPr>
        <w:t xml:space="preserve"> (3 months) to 0.7</w:t>
      </w:r>
      <w:r w:rsidR="00BF4935">
        <w:rPr>
          <w:rFonts w:asciiTheme="minorHAnsi" w:hAnsiTheme="minorHAnsi" w:cstheme="minorHAnsi"/>
          <w:sz w:val="22"/>
          <w:szCs w:val="22"/>
        </w:rPr>
        <w:t>7</w:t>
      </w:r>
      <w:r w:rsidR="001F5F4F">
        <w:rPr>
          <w:rFonts w:asciiTheme="minorHAnsi" w:hAnsiTheme="minorHAnsi" w:cstheme="minorHAnsi"/>
          <w:sz w:val="22"/>
          <w:szCs w:val="22"/>
        </w:rPr>
        <w:t xml:space="preserve"> (6 months) to 0.82 (12 months).</w:t>
      </w:r>
    </w:p>
    <w:p w14:paraId="4B6E6B4B" w14:textId="518CC34E" w:rsidR="00A9502A" w:rsidRPr="008741A0" w:rsidRDefault="00383ACF">
      <w:pPr>
        <w:spacing w:line="480" w:lineRule="auto"/>
        <w:rPr>
          <w:rFonts w:asciiTheme="minorHAnsi" w:hAnsiTheme="minorHAnsi" w:cstheme="minorHAnsi"/>
          <w:sz w:val="22"/>
          <w:szCs w:val="22"/>
        </w:rPr>
      </w:pPr>
      <w:r>
        <w:rPr>
          <w:rFonts w:asciiTheme="minorHAnsi" w:hAnsiTheme="minorHAnsi" w:cstheme="minorHAnsi"/>
          <w:sz w:val="22"/>
          <w:szCs w:val="22"/>
        </w:rPr>
        <w:tab/>
        <w:t>Table 6</w:t>
      </w:r>
      <w:r w:rsidR="007D38A9">
        <w:rPr>
          <w:rFonts w:asciiTheme="minorHAnsi" w:hAnsiTheme="minorHAnsi" w:cstheme="minorHAnsi"/>
          <w:sz w:val="22"/>
          <w:szCs w:val="22"/>
        </w:rPr>
        <w:t xml:space="preserve"> </w:t>
      </w:r>
      <w:r w:rsidR="00C738B9">
        <w:rPr>
          <w:rFonts w:asciiTheme="minorHAnsi" w:hAnsiTheme="minorHAnsi" w:cstheme="minorHAnsi"/>
          <w:sz w:val="22"/>
          <w:szCs w:val="22"/>
        </w:rPr>
        <w:t xml:space="preserve">(supplemental materials) </w:t>
      </w:r>
      <w:r w:rsidR="007D38A9">
        <w:rPr>
          <w:rFonts w:asciiTheme="minorHAnsi" w:hAnsiTheme="minorHAnsi" w:cstheme="minorHAnsi"/>
          <w:sz w:val="22"/>
          <w:szCs w:val="22"/>
        </w:rPr>
        <w:t>demonstrates the inter-rater agreement data</w:t>
      </w:r>
      <w:r>
        <w:rPr>
          <w:rFonts w:asciiTheme="minorHAnsi" w:hAnsiTheme="minorHAnsi" w:cstheme="minorHAnsi"/>
          <w:sz w:val="22"/>
          <w:szCs w:val="22"/>
        </w:rPr>
        <w:t xml:space="preserve">. </w:t>
      </w:r>
      <w:r w:rsidR="00042695">
        <w:rPr>
          <w:rFonts w:asciiTheme="minorHAnsi" w:hAnsiTheme="minorHAnsi" w:cstheme="minorHAnsi"/>
          <w:sz w:val="22"/>
          <w:szCs w:val="22"/>
        </w:rPr>
        <w:t xml:space="preserve">Agreement for the retrospectively acquired MR data </w:t>
      </w:r>
      <w:r>
        <w:rPr>
          <w:rFonts w:asciiTheme="minorHAnsi" w:hAnsiTheme="minorHAnsi" w:cstheme="minorHAnsi"/>
          <w:sz w:val="22"/>
          <w:szCs w:val="22"/>
        </w:rPr>
        <w:t xml:space="preserve">was fair for outer </w:t>
      </w:r>
      <w:r w:rsidR="001D6A83">
        <w:rPr>
          <w:rFonts w:asciiTheme="minorHAnsi" w:hAnsiTheme="minorHAnsi" w:cstheme="minorHAnsi"/>
          <w:sz w:val="22"/>
          <w:szCs w:val="22"/>
        </w:rPr>
        <w:t>levator distance</w:t>
      </w:r>
      <w:r>
        <w:rPr>
          <w:rFonts w:asciiTheme="minorHAnsi" w:hAnsiTheme="minorHAnsi" w:cstheme="minorHAnsi"/>
          <w:sz w:val="22"/>
          <w:szCs w:val="22"/>
        </w:rPr>
        <w:t xml:space="preserve"> and </w:t>
      </w:r>
      <w:proofErr w:type="spellStart"/>
      <w:r>
        <w:rPr>
          <w:rFonts w:asciiTheme="minorHAnsi" w:hAnsiTheme="minorHAnsi" w:cstheme="minorHAnsi"/>
          <w:sz w:val="22"/>
          <w:szCs w:val="22"/>
        </w:rPr>
        <w:t>aMUP</w:t>
      </w:r>
      <w:proofErr w:type="spellEnd"/>
      <w:r>
        <w:rPr>
          <w:rFonts w:asciiTheme="minorHAnsi" w:hAnsiTheme="minorHAnsi" w:cstheme="minorHAnsi"/>
          <w:sz w:val="22"/>
          <w:szCs w:val="22"/>
        </w:rPr>
        <w:t>, good for sagittal</w:t>
      </w:r>
      <w:r w:rsidR="007D38A9">
        <w:rPr>
          <w:rFonts w:asciiTheme="minorHAnsi" w:hAnsiTheme="minorHAnsi" w:cstheme="minorHAnsi"/>
          <w:sz w:val="22"/>
          <w:szCs w:val="22"/>
        </w:rPr>
        <w:t xml:space="preserve"> MUL</w:t>
      </w:r>
      <w:r>
        <w:rPr>
          <w:rFonts w:asciiTheme="minorHAnsi" w:hAnsiTheme="minorHAnsi" w:cstheme="minorHAnsi"/>
          <w:sz w:val="22"/>
          <w:szCs w:val="22"/>
        </w:rPr>
        <w:t xml:space="preserve"> and coronal MUL, and excellent for inner </w:t>
      </w:r>
      <w:r w:rsidR="001D6A83">
        <w:rPr>
          <w:rFonts w:asciiTheme="minorHAnsi" w:hAnsiTheme="minorHAnsi" w:cstheme="minorHAnsi"/>
          <w:sz w:val="22"/>
          <w:szCs w:val="22"/>
        </w:rPr>
        <w:t xml:space="preserve">levator distance </w:t>
      </w:r>
      <w:r>
        <w:rPr>
          <w:rFonts w:asciiTheme="minorHAnsi" w:hAnsiTheme="minorHAnsi" w:cstheme="minorHAnsi"/>
          <w:sz w:val="22"/>
          <w:szCs w:val="22"/>
        </w:rPr>
        <w:t xml:space="preserve">and </w:t>
      </w:r>
      <w:proofErr w:type="spellStart"/>
      <w:r>
        <w:rPr>
          <w:rFonts w:asciiTheme="minorHAnsi" w:hAnsiTheme="minorHAnsi" w:cstheme="minorHAnsi"/>
          <w:sz w:val="22"/>
          <w:szCs w:val="22"/>
        </w:rPr>
        <w:t>pubourethral</w:t>
      </w:r>
      <w:proofErr w:type="spellEnd"/>
      <w:r>
        <w:rPr>
          <w:rFonts w:asciiTheme="minorHAnsi" w:hAnsiTheme="minorHAnsi" w:cstheme="minorHAnsi"/>
          <w:sz w:val="22"/>
          <w:szCs w:val="22"/>
        </w:rPr>
        <w:t xml:space="preserve"> angle. </w:t>
      </w:r>
      <w:r w:rsidR="007D38A9">
        <w:rPr>
          <w:rFonts w:asciiTheme="minorHAnsi" w:hAnsiTheme="minorHAnsi" w:cstheme="minorHAnsi"/>
          <w:sz w:val="22"/>
          <w:szCs w:val="22"/>
        </w:rPr>
        <w:t>Agreement was poor</w:t>
      </w:r>
      <w:r w:rsidR="00A9502A">
        <w:rPr>
          <w:rFonts w:asciiTheme="minorHAnsi" w:hAnsiTheme="minorHAnsi" w:cstheme="minorHAnsi"/>
          <w:sz w:val="22"/>
          <w:szCs w:val="22"/>
        </w:rPr>
        <w:t xml:space="preserve"> (ICC = 0.38)</w:t>
      </w:r>
      <w:r w:rsidR="007D38A9">
        <w:rPr>
          <w:rFonts w:asciiTheme="minorHAnsi" w:hAnsiTheme="minorHAnsi" w:cstheme="minorHAnsi"/>
          <w:sz w:val="22"/>
          <w:szCs w:val="22"/>
        </w:rPr>
        <w:t xml:space="preserve"> </w:t>
      </w:r>
      <w:r>
        <w:rPr>
          <w:rFonts w:asciiTheme="minorHAnsi" w:hAnsiTheme="minorHAnsi" w:cstheme="minorHAnsi"/>
          <w:sz w:val="22"/>
          <w:szCs w:val="22"/>
        </w:rPr>
        <w:t xml:space="preserve">between the prospectively reported coronal MUL </w:t>
      </w:r>
      <w:r w:rsidR="007D38A9">
        <w:rPr>
          <w:rFonts w:asciiTheme="minorHAnsi" w:hAnsiTheme="minorHAnsi" w:cstheme="minorHAnsi"/>
          <w:sz w:val="22"/>
          <w:szCs w:val="22"/>
        </w:rPr>
        <w:t xml:space="preserve">(trained and untrained reader pool) </w:t>
      </w:r>
      <w:r>
        <w:rPr>
          <w:rFonts w:asciiTheme="minorHAnsi" w:hAnsiTheme="minorHAnsi" w:cstheme="minorHAnsi"/>
          <w:sz w:val="22"/>
          <w:szCs w:val="22"/>
        </w:rPr>
        <w:t xml:space="preserve">and </w:t>
      </w:r>
      <w:r w:rsidR="00042695">
        <w:rPr>
          <w:rFonts w:asciiTheme="minorHAnsi" w:hAnsiTheme="minorHAnsi" w:cstheme="minorHAnsi"/>
          <w:sz w:val="22"/>
          <w:szCs w:val="22"/>
        </w:rPr>
        <w:t xml:space="preserve">moderate </w:t>
      </w:r>
      <w:r w:rsidR="00A9502A">
        <w:rPr>
          <w:rFonts w:asciiTheme="minorHAnsi" w:hAnsiTheme="minorHAnsi" w:cstheme="minorHAnsi"/>
          <w:sz w:val="22"/>
          <w:szCs w:val="22"/>
        </w:rPr>
        <w:t xml:space="preserve">(ICC = 0.62) for </w:t>
      </w:r>
      <w:r w:rsidR="007D38A9">
        <w:rPr>
          <w:rFonts w:asciiTheme="minorHAnsi" w:hAnsiTheme="minorHAnsi" w:cstheme="minorHAnsi"/>
          <w:sz w:val="22"/>
          <w:szCs w:val="22"/>
        </w:rPr>
        <w:t>the retrospectively measured coronal MUL (trained reader</w:t>
      </w:r>
      <w:r w:rsidR="00A9502A">
        <w:rPr>
          <w:rFonts w:asciiTheme="minorHAnsi" w:hAnsiTheme="minorHAnsi" w:cstheme="minorHAnsi"/>
          <w:sz w:val="22"/>
          <w:szCs w:val="22"/>
        </w:rPr>
        <w:t xml:space="preserve"> pool</w:t>
      </w:r>
      <w:r w:rsidR="007D38A9">
        <w:rPr>
          <w:rFonts w:asciiTheme="minorHAnsi" w:hAnsiTheme="minorHAnsi" w:cstheme="minorHAnsi"/>
          <w:sz w:val="22"/>
          <w:szCs w:val="22"/>
        </w:rPr>
        <w:t>)</w:t>
      </w:r>
      <w:r w:rsidR="00260272">
        <w:rPr>
          <w:rFonts w:asciiTheme="minorHAnsi" w:hAnsiTheme="minorHAnsi" w:cstheme="minorHAnsi"/>
          <w:sz w:val="22"/>
          <w:szCs w:val="22"/>
        </w:rPr>
        <w:t>.</w:t>
      </w:r>
    </w:p>
    <w:p w14:paraId="70E1D9C7" w14:textId="77777777" w:rsidR="00712277" w:rsidRDefault="00712277" w:rsidP="00295F5C">
      <w:pPr>
        <w:spacing w:line="480" w:lineRule="auto"/>
        <w:rPr>
          <w:rFonts w:asciiTheme="minorHAnsi" w:hAnsiTheme="minorHAnsi" w:cstheme="minorHAnsi"/>
          <w:b/>
          <w:sz w:val="22"/>
          <w:szCs w:val="22"/>
        </w:rPr>
      </w:pPr>
    </w:p>
    <w:p w14:paraId="03251664" w14:textId="6D0EEE88" w:rsidR="00295F5C" w:rsidRPr="008565B6" w:rsidRDefault="00295F5C" w:rsidP="00295F5C">
      <w:pPr>
        <w:spacing w:line="480" w:lineRule="auto"/>
        <w:rPr>
          <w:rFonts w:asciiTheme="minorHAnsi" w:hAnsiTheme="minorHAnsi" w:cstheme="minorHAnsi"/>
          <w:sz w:val="22"/>
          <w:szCs w:val="22"/>
        </w:rPr>
      </w:pPr>
      <w:r w:rsidRPr="001F5CEC">
        <w:rPr>
          <w:rFonts w:asciiTheme="minorHAnsi" w:hAnsiTheme="minorHAnsi" w:cstheme="minorHAnsi"/>
          <w:b/>
          <w:sz w:val="22"/>
          <w:szCs w:val="22"/>
        </w:rPr>
        <w:lastRenderedPageBreak/>
        <w:t>Discussion</w:t>
      </w:r>
      <w:r w:rsidR="008565B6">
        <w:rPr>
          <w:rFonts w:asciiTheme="minorHAnsi" w:hAnsiTheme="minorHAnsi" w:cstheme="minorHAnsi"/>
          <w:sz w:val="22"/>
          <w:szCs w:val="22"/>
        </w:rPr>
        <w:tab/>
      </w:r>
    </w:p>
    <w:p w14:paraId="157DDE01" w14:textId="23318626" w:rsidR="008565B6" w:rsidRDefault="00295F5C" w:rsidP="008741A0">
      <w:pPr>
        <w:spacing w:line="480" w:lineRule="auto"/>
        <w:rPr>
          <w:rFonts w:asciiTheme="minorHAnsi" w:hAnsiTheme="minorHAnsi" w:cstheme="minorHAnsi"/>
          <w:sz w:val="22"/>
          <w:szCs w:val="22"/>
        </w:rPr>
      </w:pPr>
      <w:r w:rsidRPr="001F5CEC">
        <w:rPr>
          <w:rFonts w:asciiTheme="minorHAnsi" w:hAnsiTheme="minorHAnsi" w:cstheme="minorHAnsi"/>
          <w:sz w:val="22"/>
          <w:szCs w:val="22"/>
        </w:rPr>
        <w:tab/>
      </w:r>
      <w:r w:rsidR="00E02FE5">
        <w:rPr>
          <w:rFonts w:asciiTheme="minorHAnsi" w:hAnsiTheme="minorHAnsi" w:cstheme="minorHAnsi"/>
          <w:sz w:val="22"/>
          <w:szCs w:val="22"/>
        </w:rPr>
        <w:t>In this single</w:t>
      </w:r>
      <w:r w:rsidR="001F5F4F">
        <w:rPr>
          <w:rFonts w:asciiTheme="minorHAnsi" w:hAnsiTheme="minorHAnsi" w:cstheme="minorHAnsi"/>
          <w:sz w:val="22"/>
          <w:szCs w:val="22"/>
        </w:rPr>
        <w:t>-</w:t>
      </w:r>
      <w:r w:rsidR="00E02FE5">
        <w:rPr>
          <w:rFonts w:asciiTheme="minorHAnsi" w:hAnsiTheme="minorHAnsi" w:cstheme="minorHAnsi"/>
          <w:sz w:val="22"/>
          <w:szCs w:val="22"/>
        </w:rPr>
        <w:t xml:space="preserve">center analysis of prospectively reported continence outcomes and retrospectively abstracted MRI data, we </w:t>
      </w:r>
      <w:r w:rsidR="008565B6">
        <w:rPr>
          <w:rFonts w:asciiTheme="minorHAnsi" w:hAnsiTheme="minorHAnsi" w:cstheme="minorHAnsi"/>
          <w:sz w:val="22"/>
          <w:szCs w:val="22"/>
        </w:rPr>
        <w:t>used multivariable logistic regression models to predict patient-reported</w:t>
      </w:r>
      <w:r w:rsidR="009C634B">
        <w:rPr>
          <w:rFonts w:asciiTheme="minorHAnsi" w:hAnsiTheme="minorHAnsi" w:cstheme="minorHAnsi"/>
          <w:sz w:val="22"/>
          <w:szCs w:val="22"/>
        </w:rPr>
        <w:t xml:space="preserve"> </w:t>
      </w:r>
      <w:r w:rsidR="008565B6">
        <w:rPr>
          <w:rFonts w:asciiTheme="minorHAnsi" w:hAnsiTheme="minorHAnsi" w:cstheme="minorHAnsi"/>
          <w:sz w:val="22"/>
          <w:szCs w:val="22"/>
        </w:rPr>
        <w:t xml:space="preserve">continence after </w:t>
      </w:r>
      <w:r w:rsidR="003A0645">
        <w:rPr>
          <w:rFonts w:asciiTheme="minorHAnsi" w:hAnsiTheme="minorHAnsi" w:cstheme="minorHAnsi"/>
          <w:sz w:val="22"/>
          <w:szCs w:val="22"/>
        </w:rPr>
        <w:t>radical prostatectomy (</w:t>
      </w:r>
      <w:r w:rsidR="0036376D">
        <w:rPr>
          <w:rFonts w:asciiTheme="minorHAnsi" w:hAnsiTheme="minorHAnsi" w:cstheme="minorHAnsi"/>
          <w:sz w:val="22"/>
          <w:szCs w:val="22"/>
        </w:rPr>
        <w:t>RP</w:t>
      </w:r>
      <w:r w:rsidR="003A0645">
        <w:rPr>
          <w:rFonts w:asciiTheme="minorHAnsi" w:hAnsiTheme="minorHAnsi" w:cstheme="minorHAnsi"/>
          <w:sz w:val="22"/>
          <w:szCs w:val="22"/>
        </w:rPr>
        <w:t>)</w:t>
      </w:r>
      <w:r w:rsidR="008565B6">
        <w:rPr>
          <w:rFonts w:asciiTheme="minorHAnsi" w:hAnsiTheme="minorHAnsi" w:cstheme="minorHAnsi"/>
          <w:sz w:val="22"/>
          <w:szCs w:val="22"/>
        </w:rPr>
        <w:t xml:space="preserve">. </w:t>
      </w:r>
      <w:r w:rsidR="001F5F4F">
        <w:rPr>
          <w:rFonts w:asciiTheme="minorHAnsi" w:hAnsiTheme="minorHAnsi" w:cstheme="minorHAnsi"/>
          <w:sz w:val="22"/>
          <w:szCs w:val="22"/>
        </w:rPr>
        <w:t>M</w:t>
      </w:r>
      <w:r w:rsidR="00A8467D">
        <w:rPr>
          <w:rFonts w:asciiTheme="minorHAnsi" w:hAnsiTheme="minorHAnsi" w:cstheme="minorHAnsi"/>
          <w:sz w:val="22"/>
          <w:szCs w:val="22"/>
        </w:rPr>
        <w:t xml:space="preserve">ultivariable models with and without comprehensive </w:t>
      </w:r>
      <w:r w:rsidR="001F5F4F">
        <w:rPr>
          <w:rFonts w:asciiTheme="minorHAnsi" w:hAnsiTheme="minorHAnsi" w:cstheme="minorHAnsi"/>
          <w:sz w:val="22"/>
          <w:szCs w:val="22"/>
        </w:rPr>
        <w:t>clinical data demonstrated that</w:t>
      </w:r>
      <w:r w:rsidR="003A0645">
        <w:rPr>
          <w:rFonts w:asciiTheme="minorHAnsi" w:hAnsiTheme="minorHAnsi" w:cstheme="minorHAnsi"/>
          <w:sz w:val="22"/>
          <w:szCs w:val="22"/>
        </w:rPr>
        <w:t xml:space="preserve"> a</w:t>
      </w:r>
      <w:r w:rsidR="001F5F4F">
        <w:rPr>
          <w:rFonts w:asciiTheme="minorHAnsi" w:hAnsiTheme="minorHAnsi" w:cstheme="minorHAnsi"/>
          <w:sz w:val="22"/>
          <w:szCs w:val="22"/>
        </w:rPr>
        <w:t xml:space="preserve"> </w:t>
      </w:r>
      <w:r w:rsidR="00A8467D">
        <w:rPr>
          <w:rFonts w:asciiTheme="minorHAnsi" w:hAnsiTheme="minorHAnsi" w:cstheme="minorHAnsi"/>
          <w:sz w:val="22"/>
          <w:szCs w:val="22"/>
        </w:rPr>
        <w:t xml:space="preserve">longer </w:t>
      </w:r>
      <w:r w:rsidR="003A0645">
        <w:rPr>
          <w:rFonts w:asciiTheme="minorHAnsi" w:hAnsiTheme="minorHAnsi" w:cstheme="minorHAnsi"/>
          <w:sz w:val="22"/>
          <w:szCs w:val="22"/>
        </w:rPr>
        <w:t>membranous urethra length (</w:t>
      </w:r>
      <w:r w:rsidR="00A8467D">
        <w:rPr>
          <w:rFonts w:asciiTheme="minorHAnsi" w:hAnsiTheme="minorHAnsi" w:cstheme="minorHAnsi"/>
          <w:sz w:val="22"/>
          <w:szCs w:val="22"/>
        </w:rPr>
        <w:t>MUL</w:t>
      </w:r>
      <w:r w:rsidR="003A0645">
        <w:rPr>
          <w:rFonts w:asciiTheme="minorHAnsi" w:hAnsiTheme="minorHAnsi" w:cstheme="minorHAnsi"/>
          <w:sz w:val="22"/>
          <w:szCs w:val="22"/>
        </w:rPr>
        <w:t>)</w:t>
      </w:r>
      <w:r w:rsidR="00A8467D">
        <w:rPr>
          <w:rFonts w:asciiTheme="minorHAnsi" w:hAnsiTheme="minorHAnsi" w:cstheme="minorHAnsi"/>
          <w:sz w:val="22"/>
          <w:szCs w:val="22"/>
        </w:rPr>
        <w:t xml:space="preserve"> was a significant independent predictor of continence at 3</w:t>
      </w:r>
      <w:r w:rsidR="00C52E01">
        <w:rPr>
          <w:rFonts w:asciiTheme="minorHAnsi" w:hAnsiTheme="minorHAnsi" w:cstheme="minorHAnsi"/>
          <w:sz w:val="22"/>
          <w:szCs w:val="22"/>
        </w:rPr>
        <w:t xml:space="preserve"> (OR: 0.8</w:t>
      </w:r>
      <w:r w:rsidR="00E52B52">
        <w:rPr>
          <w:rFonts w:asciiTheme="minorHAnsi" w:hAnsiTheme="minorHAnsi" w:cstheme="minorHAnsi"/>
          <w:sz w:val="22"/>
          <w:szCs w:val="22"/>
        </w:rPr>
        <w:t>6</w:t>
      </w:r>
      <w:r w:rsidR="00C52E01">
        <w:rPr>
          <w:rFonts w:asciiTheme="minorHAnsi" w:hAnsiTheme="minorHAnsi" w:cstheme="minorHAnsi"/>
          <w:sz w:val="22"/>
          <w:szCs w:val="22"/>
        </w:rPr>
        <w:t>/mm</w:t>
      </w:r>
      <w:r w:rsidR="002F4A23">
        <w:rPr>
          <w:rFonts w:asciiTheme="minorHAnsi" w:hAnsiTheme="minorHAnsi" w:cstheme="minorHAnsi"/>
          <w:sz w:val="22"/>
          <w:szCs w:val="22"/>
        </w:rPr>
        <w:t>, p&lt;0.001</w:t>
      </w:r>
      <w:r w:rsidR="00C52E01">
        <w:rPr>
          <w:rFonts w:asciiTheme="minorHAnsi" w:hAnsiTheme="minorHAnsi" w:cstheme="minorHAnsi"/>
          <w:sz w:val="22"/>
          <w:szCs w:val="22"/>
        </w:rPr>
        <w:t>)</w:t>
      </w:r>
      <w:r w:rsidR="00A8467D">
        <w:rPr>
          <w:rFonts w:asciiTheme="minorHAnsi" w:hAnsiTheme="minorHAnsi" w:cstheme="minorHAnsi"/>
          <w:sz w:val="22"/>
          <w:szCs w:val="22"/>
        </w:rPr>
        <w:t>, 6</w:t>
      </w:r>
      <w:r w:rsidR="00C52E01">
        <w:rPr>
          <w:rFonts w:asciiTheme="minorHAnsi" w:hAnsiTheme="minorHAnsi" w:cstheme="minorHAnsi"/>
          <w:sz w:val="22"/>
          <w:szCs w:val="22"/>
        </w:rPr>
        <w:t xml:space="preserve"> (OR: 0.8</w:t>
      </w:r>
      <w:r w:rsidR="00E52B52">
        <w:rPr>
          <w:rFonts w:asciiTheme="minorHAnsi" w:hAnsiTheme="minorHAnsi" w:cstheme="minorHAnsi"/>
          <w:sz w:val="22"/>
          <w:szCs w:val="22"/>
        </w:rPr>
        <w:t>6</w:t>
      </w:r>
      <w:r w:rsidR="00C52E01">
        <w:rPr>
          <w:rFonts w:asciiTheme="minorHAnsi" w:hAnsiTheme="minorHAnsi" w:cstheme="minorHAnsi"/>
          <w:sz w:val="22"/>
          <w:szCs w:val="22"/>
        </w:rPr>
        <w:t>/mL</w:t>
      </w:r>
      <w:r w:rsidR="002F4A23">
        <w:rPr>
          <w:rFonts w:asciiTheme="minorHAnsi" w:hAnsiTheme="minorHAnsi" w:cstheme="minorHAnsi"/>
          <w:sz w:val="22"/>
          <w:szCs w:val="22"/>
        </w:rPr>
        <w:t>, p=0.003</w:t>
      </w:r>
      <w:r w:rsidR="00C52E01">
        <w:rPr>
          <w:rFonts w:asciiTheme="minorHAnsi" w:hAnsiTheme="minorHAnsi" w:cstheme="minorHAnsi"/>
          <w:sz w:val="22"/>
          <w:szCs w:val="22"/>
        </w:rPr>
        <w:t>)</w:t>
      </w:r>
      <w:r w:rsidR="00A8467D">
        <w:rPr>
          <w:rFonts w:asciiTheme="minorHAnsi" w:hAnsiTheme="minorHAnsi" w:cstheme="minorHAnsi"/>
          <w:sz w:val="22"/>
          <w:szCs w:val="22"/>
        </w:rPr>
        <w:t xml:space="preserve">, and 12 </w:t>
      </w:r>
      <w:r w:rsidR="00C52E01">
        <w:rPr>
          <w:rFonts w:asciiTheme="minorHAnsi" w:hAnsiTheme="minorHAnsi" w:cstheme="minorHAnsi"/>
          <w:sz w:val="22"/>
          <w:szCs w:val="22"/>
        </w:rPr>
        <w:t>(OR: 0.79/mm</w:t>
      </w:r>
      <w:r w:rsidR="002F4A23">
        <w:rPr>
          <w:rFonts w:asciiTheme="minorHAnsi" w:hAnsiTheme="minorHAnsi" w:cstheme="minorHAnsi"/>
          <w:sz w:val="22"/>
          <w:szCs w:val="22"/>
        </w:rPr>
        <w:t>, p=0.002</w:t>
      </w:r>
      <w:r w:rsidR="00C52E01">
        <w:rPr>
          <w:rFonts w:asciiTheme="minorHAnsi" w:hAnsiTheme="minorHAnsi" w:cstheme="minorHAnsi"/>
          <w:sz w:val="22"/>
          <w:szCs w:val="22"/>
        </w:rPr>
        <w:t xml:space="preserve">) </w:t>
      </w:r>
      <w:r w:rsidR="00A8467D">
        <w:rPr>
          <w:rFonts w:asciiTheme="minorHAnsi" w:hAnsiTheme="minorHAnsi" w:cstheme="minorHAnsi"/>
          <w:sz w:val="22"/>
          <w:szCs w:val="22"/>
        </w:rPr>
        <w:t xml:space="preserve">months post-RP. </w:t>
      </w:r>
      <w:r w:rsidR="00C52E01">
        <w:rPr>
          <w:rFonts w:asciiTheme="minorHAnsi" w:hAnsiTheme="minorHAnsi" w:cstheme="minorHAnsi"/>
          <w:sz w:val="22"/>
          <w:szCs w:val="22"/>
        </w:rPr>
        <w:t xml:space="preserve">This indicates durability of the finding (i.e., internal validity), and that for each mm increase in coronal MUL, the odds of incontinence </w:t>
      </w:r>
      <w:r w:rsidR="007959CE">
        <w:rPr>
          <w:rFonts w:asciiTheme="minorHAnsi" w:hAnsiTheme="minorHAnsi" w:cstheme="minorHAnsi"/>
          <w:sz w:val="22"/>
          <w:szCs w:val="22"/>
        </w:rPr>
        <w:t>decreased</w:t>
      </w:r>
      <w:r w:rsidR="00864949">
        <w:rPr>
          <w:rFonts w:asciiTheme="minorHAnsi" w:hAnsiTheme="minorHAnsi" w:cstheme="minorHAnsi"/>
          <w:sz w:val="22"/>
          <w:szCs w:val="22"/>
        </w:rPr>
        <w:t xml:space="preserve"> </w:t>
      </w:r>
      <w:r w:rsidR="00C52E01">
        <w:rPr>
          <w:rFonts w:asciiTheme="minorHAnsi" w:hAnsiTheme="minorHAnsi" w:cstheme="minorHAnsi"/>
          <w:sz w:val="22"/>
          <w:szCs w:val="22"/>
        </w:rPr>
        <w:t>by 1</w:t>
      </w:r>
      <w:r w:rsidR="00E52B52">
        <w:rPr>
          <w:rFonts w:asciiTheme="minorHAnsi" w:hAnsiTheme="minorHAnsi" w:cstheme="minorHAnsi"/>
          <w:sz w:val="22"/>
          <w:szCs w:val="22"/>
        </w:rPr>
        <w:t>4</w:t>
      </w:r>
      <w:r w:rsidR="00C52E01">
        <w:rPr>
          <w:rFonts w:asciiTheme="minorHAnsi" w:hAnsiTheme="minorHAnsi" w:cstheme="minorHAnsi"/>
          <w:sz w:val="22"/>
          <w:szCs w:val="22"/>
        </w:rPr>
        <w:t xml:space="preserve">% (3 months) to 21% (12 months). </w:t>
      </w:r>
      <w:r w:rsidR="00864949">
        <w:rPr>
          <w:rFonts w:asciiTheme="minorHAnsi" w:hAnsiTheme="minorHAnsi" w:cstheme="minorHAnsi"/>
          <w:sz w:val="22"/>
          <w:szCs w:val="22"/>
        </w:rPr>
        <w:t xml:space="preserve">In other words, a longer pre-operative MUL increases the likelihood of post-RP continence recovery. </w:t>
      </w:r>
      <w:r w:rsidR="008741A0">
        <w:rPr>
          <w:rFonts w:asciiTheme="minorHAnsi" w:hAnsiTheme="minorHAnsi" w:cstheme="minorHAnsi"/>
          <w:sz w:val="22"/>
          <w:szCs w:val="22"/>
        </w:rPr>
        <w:t xml:space="preserve">The level of discrimination </w:t>
      </w:r>
      <w:r w:rsidR="00C52E01">
        <w:rPr>
          <w:rFonts w:asciiTheme="minorHAnsi" w:hAnsiTheme="minorHAnsi" w:cstheme="minorHAnsi"/>
          <w:sz w:val="22"/>
          <w:szCs w:val="22"/>
        </w:rPr>
        <w:t xml:space="preserve">for </w:t>
      </w:r>
      <w:r w:rsidR="008741A0">
        <w:rPr>
          <w:rFonts w:asciiTheme="minorHAnsi" w:hAnsiTheme="minorHAnsi" w:cstheme="minorHAnsi"/>
          <w:sz w:val="22"/>
          <w:szCs w:val="22"/>
        </w:rPr>
        <w:t xml:space="preserve">the combined multivariable models increased </w:t>
      </w:r>
      <w:r w:rsidR="00C52E01">
        <w:rPr>
          <w:rFonts w:asciiTheme="minorHAnsi" w:hAnsiTheme="minorHAnsi" w:cstheme="minorHAnsi"/>
          <w:sz w:val="22"/>
          <w:szCs w:val="22"/>
        </w:rPr>
        <w:t>over time (</w:t>
      </w:r>
      <w:r w:rsidR="008741A0">
        <w:rPr>
          <w:rFonts w:asciiTheme="minorHAnsi" w:hAnsiTheme="minorHAnsi" w:cstheme="minorHAnsi"/>
          <w:sz w:val="22"/>
          <w:szCs w:val="22"/>
        </w:rPr>
        <w:t>0.74</w:t>
      </w:r>
      <w:r w:rsidR="00E52B52">
        <w:rPr>
          <w:rFonts w:asciiTheme="minorHAnsi" w:hAnsiTheme="minorHAnsi" w:cstheme="minorHAnsi"/>
          <w:sz w:val="22"/>
          <w:szCs w:val="22"/>
        </w:rPr>
        <w:t>5</w:t>
      </w:r>
      <w:r w:rsidR="008741A0">
        <w:rPr>
          <w:rFonts w:asciiTheme="minorHAnsi" w:hAnsiTheme="minorHAnsi" w:cstheme="minorHAnsi"/>
          <w:sz w:val="22"/>
          <w:szCs w:val="22"/>
        </w:rPr>
        <w:t xml:space="preserve"> to 0.7</w:t>
      </w:r>
      <w:r w:rsidR="00E52B52">
        <w:rPr>
          <w:rFonts w:asciiTheme="minorHAnsi" w:hAnsiTheme="minorHAnsi" w:cstheme="minorHAnsi"/>
          <w:sz w:val="22"/>
          <w:szCs w:val="22"/>
        </w:rPr>
        <w:t>66</w:t>
      </w:r>
      <w:r w:rsidR="008741A0">
        <w:rPr>
          <w:rFonts w:asciiTheme="minorHAnsi" w:hAnsiTheme="minorHAnsi" w:cstheme="minorHAnsi"/>
          <w:sz w:val="22"/>
          <w:szCs w:val="22"/>
        </w:rPr>
        <w:t xml:space="preserve"> to 0.824</w:t>
      </w:r>
      <w:r w:rsidR="00C52E01">
        <w:rPr>
          <w:rFonts w:asciiTheme="minorHAnsi" w:hAnsiTheme="minorHAnsi" w:cstheme="minorHAnsi"/>
          <w:sz w:val="22"/>
          <w:szCs w:val="22"/>
        </w:rPr>
        <w:t>)</w:t>
      </w:r>
      <w:r w:rsidR="008741A0">
        <w:rPr>
          <w:rFonts w:asciiTheme="minorHAnsi" w:hAnsiTheme="minorHAnsi" w:cstheme="minorHAnsi"/>
          <w:sz w:val="22"/>
          <w:szCs w:val="22"/>
        </w:rPr>
        <w:t xml:space="preserve">, suggesting </w:t>
      </w:r>
      <w:r w:rsidR="00C52E01">
        <w:rPr>
          <w:rFonts w:asciiTheme="minorHAnsi" w:hAnsiTheme="minorHAnsi" w:cstheme="minorHAnsi"/>
          <w:sz w:val="22"/>
          <w:szCs w:val="22"/>
        </w:rPr>
        <w:t xml:space="preserve">that the predictive ability of the </w:t>
      </w:r>
      <w:r w:rsidR="00A67008">
        <w:rPr>
          <w:rFonts w:asciiTheme="minorHAnsi" w:hAnsiTheme="minorHAnsi" w:cstheme="minorHAnsi"/>
          <w:sz w:val="22"/>
          <w:szCs w:val="22"/>
        </w:rPr>
        <w:t xml:space="preserve">pre-operative </w:t>
      </w:r>
      <w:r w:rsidR="00C52E01">
        <w:rPr>
          <w:rFonts w:asciiTheme="minorHAnsi" w:hAnsiTheme="minorHAnsi" w:cstheme="minorHAnsi"/>
          <w:sz w:val="22"/>
          <w:szCs w:val="22"/>
        </w:rPr>
        <w:t>variables we studied may actually improve with longer follow-up</w:t>
      </w:r>
      <w:r w:rsidR="001F5F4F">
        <w:rPr>
          <w:rFonts w:asciiTheme="minorHAnsi" w:hAnsiTheme="minorHAnsi" w:cstheme="minorHAnsi"/>
          <w:sz w:val="22"/>
          <w:szCs w:val="22"/>
        </w:rPr>
        <w:t xml:space="preserve">. </w:t>
      </w:r>
      <w:r w:rsidR="00C52E01">
        <w:rPr>
          <w:rFonts w:asciiTheme="minorHAnsi" w:hAnsiTheme="minorHAnsi" w:cstheme="minorHAnsi"/>
          <w:sz w:val="22"/>
          <w:szCs w:val="22"/>
        </w:rPr>
        <w:t>Among the clinical variables, older age and</w:t>
      </w:r>
      <w:r w:rsidR="00864949">
        <w:rPr>
          <w:rFonts w:asciiTheme="minorHAnsi" w:hAnsiTheme="minorHAnsi" w:cstheme="minorHAnsi"/>
          <w:sz w:val="22"/>
          <w:szCs w:val="22"/>
        </w:rPr>
        <w:t xml:space="preserve"> lower</w:t>
      </w:r>
      <w:r w:rsidR="00C52E01">
        <w:rPr>
          <w:rFonts w:asciiTheme="minorHAnsi" w:hAnsiTheme="minorHAnsi" w:cstheme="minorHAnsi"/>
          <w:sz w:val="22"/>
          <w:szCs w:val="22"/>
        </w:rPr>
        <w:t xml:space="preserve"> baseline urinary function scores were the most consistent predictors of </w:t>
      </w:r>
      <w:r w:rsidR="00864949">
        <w:rPr>
          <w:rFonts w:asciiTheme="minorHAnsi" w:hAnsiTheme="minorHAnsi" w:cstheme="minorHAnsi"/>
          <w:sz w:val="22"/>
          <w:szCs w:val="22"/>
        </w:rPr>
        <w:t>in</w:t>
      </w:r>
      <w:r w:rsidR="00C52E01">
        <w:rPr>
          <w:rFonts w:asciiTheme="minorHAnsi" w:hAnsiTheme="minorHAnsi" w:cstheme="minorHAnsi"/>
          <w:sz w:val="22"/>
          <w:szCs w:val="22"/>
        </w:rPr>
        <w:t>continence.</w:t>
      </w:r>
    </w:p>
    <w:p w14:paraId="599F50AD" w14:textId="57B0C760" w:rsidR="00B279AB" w:rsidRDefault="00532653" w:rsidP="00295F5C">
      <w:pPr>
        <w:spacing w:line="480" w:lineRule="auto"/>
        <w:rPr>
          <w:rFonts w:asciiTheme="minorHAnsi" w:hAnsiTheme="minorHAnsi" w:cstheme="minorHAnsi"/>
          <w:sz w:val="22"/>
          <w:szCs w:val="22"/>
        </w:rPr>
      </w:pPr>
      <w:r>
        <w:rPr>
          <w:rFonts w:asciiTheme="minorHAnsi" w:hAnsiTheme="minorHAnsi" w:cstheme="minorHAnsi"/>
          <w:sz w:val="22"/>
          <w:szCs w:val="22"/>
        </w:rPr>
        <w:tab/>
      </w:r>
      <w:r w:rsidR="004918ED">
        <w:rPr>
          <w:rFonts w:asciiTheme="minorHAnsi" w:hAnsiTheme="minorHAnsi" w:cstheme="minorHAnsi"/>
          <w:sz w:val="22"/>
          <w:szCs w:val="22"/>
        </w:rPr>
        <w:t xml:space="preserve">The association of MUL with </w:t>
      </w:r>
      <w:r w:rsidR="009E17B8">
        <w:rPr>
          <w:rFonts w:asciiTheme="minorHAnsi" w:hAnsiTheme="minorHAnsi" w:cstheme="minorHAnsi"/>
          <w:sz w:val="22"/>
          <w:szCs w:val="22"/>
        </w:rPr>
        <w:t>continence</w:t>
      </w:r>
      <w:r w:rsidR="00864949">
        <w:rPr>
          <w:rFonts w:asciiTheme="minorHAnsi" w:hAnsiTheme="minorHAnsi" w:cstheme="minorHAnsi"/>
          <w:sz w:val="22"/>
          <w:szCs w:val="22"/>
        </w:rPr>
        <w:t xml:space="preserve"> outcomes</w:t>
      </w:r>
      <w:r w:rsidR="009E17B8">
        <w:rPr>
          <w:rFonts w:asciiTheme="minorHAnsi" w:hAnsiTheme="minorHAnsi" w:cstheme="minorHAnsi"/>
          <w:sz w:val="22"/>
          <w:szCs w:val="22"/>
        </w:rPr>
        <w:t xml:space="preserve"> in men post-</w:t>
      </w:r>
      <w:r w:rsidR="0036376D">
        <w:rPr>
          <w:rFonts w:asciiTheme="minorHAnsi" w:hAnsiTheme="minorHAnsi" w:cstheme="minorHAnsi"/>
          <w:sz w:val="22"/>
          <w:szCs w:val="22"/>
        </w:rPr>
        <w:t>RP</w:t>
      </w:r>
      <w:r w:rsidR="004918ED">
        <w:rPr>
          <w:rFonts w:asciiTheme="minorHAnsi" w:hAnsiTheme="minorHAnsi" w:cstheme="minorHAnsi"/>
          <w:sz w:val="22"/>
          <w:szCs w:val="22"/>
        </w:rPr>
        <w:t xml:space="preserve"> has been observed in other studies </w:t>
      </w:r>
      <w:r w:rsidR="00260272">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{"citationItems":[{"id":"ITEM-1","itemData":{"DOI":"10.1089/end.2010.0184","ISSN":"08927790","abstract":"Background and Purpose: Postoperative incontinence is multifactorial after radical prostatectomy. Using endorectal coil MRI, we examined features of the male urethra and accompanying muscular sphincter to predict continence after robot-assisted radical prostatectomy (RARP). Patients and Methods: 80 patients underwent preoperative 1.5 Tesla endorectal coil MRI. Urethral length was measured in the coronal plane. All patients underwent RARP. Questionnaires were completed by patients at monthly intervals. The primary end point was time to continence defined as necessitating 0 to 1 pad per day (PPD). Statistical analysis was performed using Cox regression models to create both univariate and multivariate survival models. Results: Mean age was 59.7 (standard deviation [SD] 7.1); 98% had bilateral nerve sparing. Mean urethral length was 17.1mm (SD 4.5mm). Mean prostate size was 34.7 g (SD 17.8). By 3 months, 60 patients achieved 1 PPD (mean 8.1 weeks, SD 9.4) and 34 patients achieved 0 PPD (mean 10.5 weeks, SD 8.0). Time to social continence was significantly related to prostate size both as a continuous variable (P=0.01), and as a dichotomized variable of ≥50 vs&lt;50 g (P=0.02). Increased urethral length was related to decreased time to continence both as a continuous variable (P=0.06), and when dichotomized to ≥20 vs&lt;20mm (P=0.08). In addition to larger prostate size (hazard ratio [HR] 0.97, P&lt;0.04), older age (0.95 P&lt;0.025) was also associated with a longer time to achieve 0 PPD. Multivariate analysis revealed that longer urethral length was associated with a faster recovery of continence (HR 1.11, P&lt;0.01). After controlling for age and urethral length, patients with a prostate size ≥50 g had 75% lower likelihood of achieving continence at all time points when compared with patients with prostate size &lt;50 g (HR 0.25; 95% confidence interval: 0.06, 1.06; P=0.06). Conclusions: Longer urethral length increased the likelihood of achieving continence at all time points postoperatively. Advanced age and larger prostate size were negatively associated with continence outcomes. Copyright © Mary Ann Liebert, Inc.","author":[{"dropping-particle":"","family":"Mendoza","given":"Pierre J.","non-dropping-particle":"","parse-names":false,"suffix":""},{"dropping-particle":"","family":"Stern","given":"Joshua M.","non-dropping-particle":"","parse-names":false,"suffix":""},{"dropping-particle":"","family":"Li","given":"Amy Y.","non-dropping-particle":"","parse-names":false,"suffix":""},{"dropping-particle":"","family":"Jaffe","given":"William","non-dropping-particle":"","parse-names":false,"suffix":""},{"dropping-particle":"","family":"Kovell","given":"Robert","non-dropping-particle":"","parse-names":false,"suffix":""},{"dropping-particle":"","family":"Mary Nguyen","given":"R. N.","non-dropping-particle":"","parse-names":false,"suffix":""},{"dropping-particle":"","family":"Rachel Natale","given":"P. A.C.","non-dropping-particle":"","parse-names":false,"suffix":""},{"dropping-particle":"","family":"Kelly Monahan","given":"P. A.C.","non-dropping-particle":"","parse-names":false,"suffix":""},{"dropping-particle":"","family":"Bergey","given":"Meredith R.","non-dropping-particle":"","parse-names":false,"suffix":""},{"dropping-particle":"","family":"Lee","given":"David I.","non-dropping-particle":"","parse-names":false,"suffix":""}],"container-title":"Journal of Endourology","id":"ITEM-1","issue":"1","issued":{"date-parts":[["2011","1"]]},"page":"51-55","publisher":"J Endourol","title":"Pelvic anatomy on preoperative magnetic resonance imaging can predict early continence after robot-assisted radical prostatectomy","type":"article-journal","volume":"25"},"uris":["http://www.mendeley.com/documents/?uuid=cf62feae-a7e1-335e-a6ec-7e84f38be2cb"]},{"id":"ITEM-2","itemData":{"DOI":"10.1016/S0022-5347(05)64568-5","ISSN":"00225347","abstract":"Purpose: We determined whether membranous urethral length on preoperative magnetic resonance imaging (MRI) is predictive of urinary continence after radical retropubic prostatectomy. Materials and Methods: Membranous urethral length was measured on preoperative endorectal MRI in 211 consecutive patients with newly diagnosed prostate cancer before radical retropubic prostatectomy performed by a single surgeon. Neurovascular bundle resection was done in 60 cases. After surgery the time to stable postoperative continence was recorded in 180 cases and the level of stable continence was graded on a 5-point scale of 1 - complete continence to 5 - complete incontinence. Results: After controlling for age and surgical technique multivariate analysis showed that membranous urethral length was related to time to stable postoperative continence (p = 0.02), such that a longer membranous urethra was associated with a shorter time to stable continence. For example, 1 year after surgery 120 of the 134 patients (89%) with a preoperative membranous urethral length of greater than 12 mm. were completely continent compared with 35 of the 46 (77%) with a preoperative length of 12 mm. or less. Conclusions: On endorectal MRI before radical prostatectomy a longer membranous urethra is associated with significantly more rapid return of urinary continence after surgery.","author":[{"dropping-particle":"V.","family":"Coakley","given":"Fergus","non-dropping-particle":"","parse-names":false,"suffix":""},{"dropping-particle":"","family":"Eberhardt","given":"Steven","non-dropping-particle":"","parse-names":false,"suffix":""},{"dropping-particle":"","family":"Kattan","given":"Michael W.","non-dropping-particle":"","parse-names":false,"suffix":""},{"dropping-particle":"","family":"Wei","given":"David C.","non-dropping-particle":"","parse-names":false,"suffix":""},{"dropping-particle":"","family":"Scardino","given":"Peter T.","non-dropping-particle":"","parse-names":false,"suffix":""},{"dropping-particle":"","family":"Hricak","given":"Hedvig","non-dropping-particle":"","parse-names":false,"suffix":""}],"container-title":"Journal of Urology","id":"ITEM-2","issued":{"date-parts":[["2002"]]},"title":"Urinary continence after radical retropubic prostatectomy: Relationship with membranous urethral length on preoperative endorectal magnetic resonance","type":"article-journal"},"uris":["http://www.mendeley.com/documents/?uuid=30f6907b-6540-4256-ab95-455266614af2"]},{"id":"ITEM-3","itemData":{"DOI":"10.1002/nau.23318","ISSN":"15206777","abstract":"Aims: To determine whether preoperative prostate/pelvic anatomical structures and intraoperative fascia preservation (FP) predict continence recovery after robot-assisted radical prostatectomy (RARP). Methods: Between January 2012 and March 2016, 439 prostate cancer (PCa) patients with normal preoperative continence were retrospectively included. FP score was defined as the extent of FP from base to apex of the prostate, quantitatively assessed by the surgeon. Anatomical prostate structures were measured on endorectal preoperative Magnetic Resonance Imaging. The International Consultation on Incontinence Questionnaire-Short Form (ICIQ-SF) was used to assess urinary incontinence (UI). Cox analysis was used to determine predictive factors for early continence recovery. Finally a binary logistic regression analysis was performed to develop a risk calculator. Results: At a median follow up of 12.1 months 50.8% of men reported UI. In the Cox multivariate analysis longer membranous urethral length (MUL; P &lt; 0.0001; OR 1.309; CI 1.211, 1.415) and shorter inner levator distance (ILD; P &lt; 0.0001; OR 0.904; CI 0.85, 0.961) were predictors of earlier continence recovery. In the multivariate binary logistic regression analysis longer MUL (P &lt; 0.0001; OR 1.565, CI 1.362, 1.798), shorter ILD (P &lt; 0.0001; OR 0.819, CI 0.742, 0.904) and higher FP score (P = 0.024; OR 1.089, CI 1.011, 1.172) were independent predictors of continence outcome. The risk calculator predicted continence recovery between 1.3% and 99%. Conclusions: Preoperative longer MUL and shorter ILD, but also intraoperative FP independently improve continence recovery after RARP. The risk calculator could be used to identify patients at high risk of UI.","author":[{"dropping-particle":"","family":"Grivas","given":"Nikolaos","non-dropping-particle":"","parse-names":false,"suffix":""},{"dropping-particle":"","family":"Roest","given":"Rosanne","non-dropping-particle":"van der","parse-names":false,"suffix":""},{"dropping-particle":"","family":"Schouten","given":"Daan","non-dropping-particle":"","parse-names":false,"suffix":""},{"dropping-particle":"","family":"Cavicchioli","given":"Francesca","non-dropping-particle":"","parse-names":false,"suffix":""},{"dropping-particle":"","family":"Tillier","given":"Corine","non-dropping-particle":"","parse-names":false,"suffix":""},{"dropping-particle":"","family":"Bex","given":"Axel","non-dropping-particle":"","parse-names":false,"suffix":""},{"dropping-particle":"","family":"Schoots","given":"Ivo","non-dropping-particle":"","parse-names":false,"suffix":""},{"dropping-particle":"","family":"Artibani","given":"Walter","non-dropping-particle":"","parse-names":false,"suffix":""},{"dropping-particle":"","family":"Heijmink","given":"Stijn","non-dropping-particle":"","parse-names":false,"suffix":""},{"dropping-particle":"","family":"Poel","given":"Henk","non-dropping-particle":"Van Der","parse-names":false,"suffix":""}],"container-title":"Neurourology and Urodynamics","id":"ITEM-3","issued":{"date-parts":[["2018"]]},"title":"Quantitative assessment of fascia preservation improves the prediction of membranous urethral length and inner levator distance on continence outcome after robot-assisted radical prostatectomy","type":"article-journal"},"uris":["http://www.mendeley.com/documents/?uuid=6eddffac-ab31-4c8f-a532-952f4500ab46"]},{"id":"ITEM-4","itemData":{"DOI":"10.1016/j.eururo.2008.08.057","ISSN":"03022838","PMID":"18801612","abstract":"Background: Limited data on endorectal magnetic resonance imaging (MRI) features and urinary continence after radical prostatectomy (RP) are available. Objective: To assess whether recovery of urinary continence after RP is associated with endorectal MRI findings regarding preoperative and postoperative membranous urethral length (MUL), percent change in MUL, and postoperative urethral and periurethral fibrosis. Design, setting, and participants: Sixty-four patients who received an MRI scan before and after RP for localized prostate cancer were evaluated in a retrospective study at a single institution. Intervention: All patients underwent RP. Measurements: The postoperative scan was performed to detect local recurrence in patients with rising levels of prostate-specific antigen. Urinary continence was graded on a five-point scale. MUL was measured on T2-weighted images. Urethral and periurethral fibrosis was graded from 0 to III based on axial T2-weighted images. Univariate Cox proportional hazards regression was performed to assess variables associated with continence. Results and limitations: Forty-eight patients regained continence following surgery. The median follow-up for patient who were incontinent at their last assessment was 7 mo. The median interval from RP to postoperative endorectal MRI was 10 mo. A longer preoperative or postoperative MUL was associated with superior continence (both p &lt; 0.01). The MUL loss ratio was significantly associated with postoperative continence (p = 0.02). Patients with a high grade of postoperative periurethral fibrosis tended to have worse postoperative continence; nevertheless a statistical correlation was not reached (hazard ratio: 0.64, p = 0.16). This is a retrospective study. Conclusions: Preoperative and postoperative MUL and the MUL loss ratio are related to the recovery time and level of urinary continence after RP. Therefore, preservation of urethral length during surgery is recommended. Periurethral fibrosis might impede the recovery of continence after RP by altering the elasticity of the external sphincter. © 2008 European Association of Urology.","author":[{"dropping-particle":"","family":"Paparel","given":"Philippe","non-dropping-particle":"","parse-names":false,"suffix":""},{"dropping-particle":"","family":"Akin","given":"Oguz","non-dropping-particle":"","parse-names":false,"suffix":""},{"dropping-particle":"","family":"Sandhu","given":"Jaspreet S.","non-dropping-particle":"","parse-names":false,"suffix":""},{"dropping-particle":"","family":"Otero","given":"Javier Romero","non-dropping-particle":"","parse-names":false,"suffix":""},{"dropping-particle":"","family":"Serio","given":"Angel M.","non-dropping-particle":"","parse-names":false,"suffix":""},{"dropping-particle":"","family":"Scardino","given":"Peter T.","non-dropping-particle":"","parse-names":false,"suffix":""},{"dropping-particle":"","family":"Hricak","given":"Hedvig","non-dropping-particle":"","parse-names":false,"suffix":""},{"dropping-particle":"","family":"Guillonneau","given":"Bertrand","non-dropping-particle":"","parse-names":false,"suffix":""}],"container-title":"European Urology","id":"ITEM-4","issue":"3","issued":{"date-parts":[["2009","3"]]},"page":"629-639","publisher":"Eur Urol","title":"Recovery of Urinary Continence after Radical Prostatectomy: Association with Urethral Length and Urethral Fibrosis Measured by Preoperative and Postoperative Endorectal Magnetic Resonance Imaging","type":"article-journal","volume":"55"},"uris":["http://www.mendeley.com/documents/?uuid=e7b187e1-bed4-391f-8bf9-efbca532ee02"]},{"id":"ITEM-5","itemData":{"DOI":"10.1007/s11255-015-1019-8","ISSN":"15732584","abstract":"Purpose: Prostate cancer can be treated by radical prostatectomy (RP) and provoke a troublesome side effect: urinary incontinence (UI). We propose a verification of the usefulness of MRI and an identification of which structures are involved in UI after RP. Methods: Between September 2002 and December 2011, 550 patients underwent RP. We performed MRI to evaluate extraprostatic disease before surgery. To evaluate patient status, we measured the following structures: length (LP), width (WP), height (HP) and volume (PV) of the prostate, membranous urethral length (MUL), urethral wall thickness (UWT), levator ani muscle (LAM) and obturator internus muscle (OIM) thickness, ratio of levator ani muscle/prostate volume (LAM/PV), volume of the urethra (VU). UI was defined according to ICS definition as the complaint of any involuntary leakage of urine and evaluated 1 year after surgery. Analyses were performed by mean comparisons, univariate and multivariate logistic regression with a 1000-resample bootstrapping. Results: Means of measurements were: LP 4.46 cm, WP 5.15 cm, HP 3.9 cm, PV 49.3 cc; LAM 0.51 cm, OIM 1.46 cm; MUL 1.43 cm, UWT 1.38 cm; and LAM/PV 0.013 cm/cc, VU 2.33 cc. One hundred and twenty-two (22.2 %) patients complained of urine leakage. Univariate obtained differences in PV, OIM, MUL, and UWT. After adjusting by confounders, multivariate analysis showed: MUL: [OR 0.134; CI 95 % (0.022–0.493); P 0.006]; PV: [OR 1.016; CI 95 % (1.004–1.029); P 0.005]; UWT: [OR 6.03; CI 95 % (1.068–44.1); P 0.033]. Conclusions: MRI is a useful tool to predict UI after RP. The MUL and PV are well-identified structures that are involved in UI. Our study shows that UWT also influences UI.","author":[{"dropping-particle":"","family":"Tienza","given":"Antonio","non-dropping-particle":"","parse-names":false,"suffix":""},{"dropping-particle":"","family":"Hevia","given":"Mateo","non-dropping-particle":"","parse-names":false,"suffix":""},{"dropping-particle":"","family":"Benito","given":"Alberto","non-dropping-particle":"","parse-names":false,"suffix":""},{"dropping-particle":"","family":"Pascual","given":"Juan I.","non-dropping-particle":"","parse-names":false,"suffix":""},{"dropping-particle":"","family":"Zudaire","given":"Juan Javier","non-dropping-particle":"","parse-names":false,"suffix":""},{"dropping-particle":"","family":"Robles","given":"Jose Enrique","non-dropping-particle":"","parse-names":false,"suffix":""}],"container-title":"International Urology and Nephrology","id":"ITEM-5","issue":"8","issued":{"date-parts":[["2015","8","31"]]},"page":"1343-1349","publisher":"Kluwer Academic Publishers","title":"MRI factors to predict urinary incontinence after retropubic/laparoscopic radical prostatectomy","type":"article-journal","volume":"47"},"uris":["http://www.mendeley.com/documents/?uuid=67c1c79f-928a-3c85-9bc1-9b9afe5d55e9"]},{"id":"ITEM-6","itemData":{"DOI":"10.1007/s00345-012-0857-6","ISSN":"07244983","abstract":"Purpose: The dorsal vascular complex (DVC) of the prostate is considered to be a functional structure having smooth muscles that are connected to the detrusor apron. We conducted this study to provide basic information regarding DVC size as measured by magnetic resonance imaging and to investigate whether DVC size is related to the recovery of continence following radical prostatectomy (RP). Methods: We prospectively collected data that included the results of prostate MRI and continence recovery of patients who underwent RP. From April 2006 through February 2010, 862 patients underwent RP. Of these, a total of 731 cases were included in the final analysis. The height and width of the DVC were measured in the T1-weighted axial image at the level that showed the puboprostatic ligament. Results: The continence rate of the total patient cohort at 12 months was 96. 7 %. The mean width, height and area of the DVC were 2. 0 ± 0. 4 cm, 1. 2 ± 0. 3 cm and 1. 8 ± 0. 6 cm2, respectively, and there was no linear correlation between continence recovery and these parameters. However, the patients who had a moderately large-sized DVC (2. 3-2. 8 cm2) regained their continence significantly sooner (mean duration = 2. 1 months) than those with small (3. 7 months, p = 0. 002) or extremely large DVC (4. 0 months, p = 0. 006). In a multivariate analysis, DVC size, age, transfusion and the length of membranous urethra were significant predictors of continence recovery. Conclusion: The patients who had a moderately large DVC regained continence faster following RP. © 2012 Springer-Verlag.","author":[{"dropping-particle":"","family":"Jeong","given":"Chang Wook","non-dropping-particle":"","parse-names":false,"suffix":""},{"dropping-particle":"","family":"Oh","given":"Jong Jin","non-dropping-particle":"","parse-names":false,"suffix":""},{"dropping-particle":"","family":"Jeong","given":"Seong Jin","non-dropping-particle":"","parse-names":false,"suffix":""},{"dropping-particle":"","family":"Hong","given":"Sung Kyu","non-dropping-particle":"","parse-names":false,"suffix":""},{"dropping-particle":"","family":"Byun","given":"Seok Soo","non-dropping-particle":"","parse-names":false,"suffix":""},{"dropping-particle":"Il","family":"Hwang","given":"Sung","non-dropping-particle":"","parse-names":false,"suffix":""},{"dropping-particle":"","family":"Lee","given":"Hak Jong","non-dropping-particle":"","parse-names":false,"suffix":""},{"dropping-particle":"","family":"Lee","given":"Sang Eun","non-dropping-particle":"","parse-names":false,"suffix":""}],"container-title":"World Journal of Urology","id":"ITEM-6","issue":"2","issued":{"date-parts":[["2013"]]},"page":"383-388","publisher":"World J Urol","title":"Effect of dorsal vascular complex size on the recovery of continence after radical prostatectomy","type":"article-journal","volume":"31"},"uris":["http://www.mendeley.com/documents/?uuid=0aa0a1f9-09e0-37f4-9fee-3a5003d0e17f"]},{"id":"ITEM-7","itemData":{"DOI":"10.1089/end.2010.0692","ISSN":"08927790","abstract":"Background and Purpose: Membranous urethral length is one of several factors that can influence return of continence after radical prostatectomy. Using our robot-assisted laparoscopic prostatectomy (RALP) database, we assessed which preoperative (with endorectal coil MRI [eMRI]) and intraoperative anatomic measurements correlate with return to urinary continence (no pads) and continence quality of life (CQOL) as determined by the International Consultation on Incontinence Questionnaire (ICIQ) score. Patients and Methods: A total of 75 patients who underwent RALP and eMRI by a single surgeon were analyzed. To emulate the distal continence zone intraoperatively, stretched urethral length (distance from the perineal membrane to the prostate apex on stretch) and cut urethral length (urethral stump length) were individually measured and recorded after apical dissection. Preoperative International Prostate Symptom Scores (IPSS) were recorded. Univariate and multivariate Cox regression analysis were performed to determine the association between MRI-measured and intraoperative urethral lengths and return to continence as well as CQOL. Results: None of the urethral measurements as determined by eMRI correlated with continence or ICIQ scores. On multivariate analysis, only membranous urethral length on eMRI approached significance with respect to ICIQ (P=0.07). On multivariate analysis controlling for preoperative age, body mass index, IPSS score, and gland size, both stretched and cut urethral length correlated with decreased time to continence (P=0.03 and P=0.04 respectively). Conclusion: Longer stretched and cut urethral lengths appear to correlate with faster return to a pad-free state. Attention to maximal preservation of the distal continence mechanism is important for optimal continence outcomes after RALP. © Copyright 2011, Mary Ann Liebert, Inc.","author":[{"dropping-particle":"","family":"Hakimi","given":"A. Ari","non-dropping-particle":"","parse-names":false,"suffix":""},{"dropping-particle":"","family":"Faleck","given":"David M.","non-dropping-particle":"","parse-names":false,"suffix":""},{"dropping-particle":"","family":"Agalliu","given":"Ilir","non-dropping-particle":"","parse-names":false,"suffix":""},{"dropping-particle":"","family":"Rozenblit","given":"Alla M.","non-dropping-particle":"","parse-names":false,"suffix":""},{"dropping-particle":"","family":"Chernyak","given":"Victoria","non-dropping-particle":"","parse-names":false,"suffix":""},{"dropping-particle":"","family":"Ghavamian","given":"Reza","non-dropping-particle":"","parse-names":false,"suffix":""}],"container-title":"Journal of Endourology","id":"ITEM-7","issue":"6","issued":{"date-parts":[["2011","6","1"]]},"page":"1025-1030","publisher":"J Endourol","title":"Preoperative and intraoperative measurements of urethral length as predictors of continence after robot-assisted radical prostatectomy","type":"article-journal","volume":"25"},"uris":["http://www.mendeley.com/documents/?uuid=19fd137b-fc0a-3fb3-a5d4-37579bbcf602"]},{"id":"ITEM-8","itemData":{"DOI":"10.1016/j.juro.2011.10.143","ISSN":"00225347","abstract":"Purpose: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Urology","id":"ITEM-8","issue":"3","issued":{"date-parts":[["2012"]]},"page":"945-950","publisher":"Elsevier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8,11–14,16–18&lt;/sup&gt;","plainTextFormattedCitation":"8,11–14,16–18","previouslyFormattedCitation":"&lt;sup&gt;8,11–14,16–18&lt;/sup&gt;"},"properties":{"noteIndex":0},"schema":"https://github.com/citation-style-language/schema/raw/master/csl-citation.json"}</w:instrText>
      </w:r>
      <w:r w:rsidR="00260272">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8,11–14,16–18</w:t>
      </w:r>
      <w:r w:rsidR="00260272">
        <w:rPr>
          <w:rFonts w:asciiTheme="minorHAnsi" w:hAnsiTheme="minorHAnsi" w:cstheme="minorHAnsi"/>
          <w:sz w:val="22"/>
          <w:szCs w:val="22"/>
        </w:rPr>
        <w:fldChar w:fldCharType="end"/>
      </w:r>
      <w:r w:rsidR="0036376D">
        <w:rPr>
          <w:rFonts w:asciiTheme="minorHAnsi" w:hAnsiTheme="minorHAnsi" w:cstheme="minorHAnsi"/>
          <w:sz w:val="22"/>
          <w:szCs w:val="22"/>
        </w:rPr>
        <w:t xml:space="preserve">. </w:t>
      </w:r>
      <w:r w:rsidR="00FF2CE6">
        <w:rPr>
          <w:rFonts w:asciiTheme="minorHAnsi" w:hAnsiTheme="minorHAnsi" w:cstheme="minorHAnsi"/>
          <w:sz w:val="22"/>
          <w:szCs w:val="22"/>
        </w:rPr>
        <w:t xml:space="preserve">In the largest prior study, </w:t>
      </w:r>
      <w:r w:rsidR="00961361">
        <w:rPr>
          <w:rFonts w:asciiTheme="minorHAnsi" w:hAnsiTheme="minorHAnsi" w:cstheme="minorHAnsi"/>
          <w:sz w:val="22"/>
          <w:szCs w:val="22"/>
        </w:rPr>
        <w:t xml:space="preserve">Von </w:t>
      </w:r>
      <w:proofErr w:type="spellStart"/>
      <w:r w:rsidR="00961361">
        <w:rPr>
          <w:rFonts w:asciiTheme="minorHAnsi" w:hAnsiTheme="minorHAnsi" w:cstheme="minorHAnsi"/>
          <w:sz w:val="22"/>
          <w:szCs w:val="22"/>
        </w:rPr>
        <w:t>Bodman</w:t>
      </w:r>
      <w:proofErr w:type="spellEnd"/>
      <w:r w:rsidR="00961361">
        <w:rPr>
          <w:rFonts w:asciiTheme="minorHAnsi" w:hAnsiTheme="minorHAnsi" w:cstheme="minorHAnsi"/>
          <w:sz w:val="22"/>
          <w:szCs w:val="22"/>
        </w:rPr>
        <w:t xml:space="preserve"> et al</w:t>
      </w:r>
      <w:r w:rsidR="009E17B8">
        <w:rPr>
          <w:rFonts w:asciiTheme="minorHAnsi" w:hAnsiTheme="minorHAnsi" w:cstheme="minorHAnsi"/>
          <w:sz w:val="22"/>
          <w:szCs w:val="22"/>
        </w:rPr>
        <w:t>.</w:t>
      </w:r>
      <w:r w:rsidR="00961361">
        <w:rPr>
          <w:rFonts w:asciiTheme="minorHAnsi" w:hAnsiTheme="minorHAnsi" w:cstheme="minorHAnsi"/>
          <w:sz w:val="22"/>
          <w:szCs w:val="22"/>
        </w:rPr>
        <w:t xml:space="preserve"> </w:t>
      </w:r>
      <w:r w:rsidR="000E5942">
        <w:rPr>
          <w:rFonts w:asciiTheme="minorHAnsi" w:hAnsiTheme="minorHAnsi" w:cstheme="minorHAnsi"/>
          <w:sz w:val="22"/>
          <w:szCs w:val="22"/>
        </w:rPr>
        <w:t xml:space="preserve">studied 600 men and found </w:t>
      </w:r>
      <w:r w:rsidR="005103A0">
        <w:rPr>
          <w:rFonts w:asciiTheme="minorHAnsi" w:hAnsiTheme="minorHAnsi" w:cstheme="minorHAnsi"/>
          <w:sz w:val="22"/>
          <w:szCs w:val="22"/>
        </w:rPr>
        <w:t xml:space="preserve">greater </w:t>
      </w:r>
      <w:r w:rsidR="00F24D63">
        <w:rPr>
          <w:rFonts w:asciiTheme="minorHAnsi" w:hAnsiTheme="minorHAnsi" w:cstheme="minorHAnsi"/>
          <w:sz w:val="22"/>
          <w:szCs w:val="22"/>
        </w:rPr>
        <w:t xml:space="preserve">MUL </w:t>
      </w:r>
      <w:r w:rsidR="000E5942">
        <w:rPr>
          <w:rFonts w:asciiTheme="minorHAnsi" w:hAnsiTheme="minorHAnsi" w:cstheme="minorHAnsi"/>
          <w:sz w:val="22"/>
          <w:szCs w:val="22"/>
        </w:rPr>
        <w:t>predicted</w:t>
      </w:r>
      <w:r w:rsidR="00F24D63">
        <w:rPr>
          <w:rFonts w:asciiTheme="minorHAnsi" w:hAnsiTheme="minorHAnsi" w:cstheme="minorHAnsi"/>
          <w:sz w:val="22"/>
          <w:szCs w:val="22"/>
        </w:rPr>
        <w:t xml:space="preserve"> continence</w:t>
      </w:r>
      <w:r w:rsidR="009E17B8">
        <w:rPr>
          <w:rFonts w:asciiTheme="minorHAnsi" w:hAnsiTheme="minorHAnsi" w:cstheme="minorHAnsi"/>
          <w:sz w:val="22"/>
          <w:szCs w:val="22"/>
        </w:rPr>
        <w:t xml:space="preserve"> recovery</w:t>
      </w:r>
      <w:r w:rsidR="00F24D63">
        <w:rPr>
          <w:rFonts w:asciiTheme="minorHAnsi" w:hAnsiTheme="minorHAnsi" w:cstheme="minorHAnsi"/>
          <w:sz w:val="22"/>
          <w:szCs w:val="22"/>
        </w:rPr>
        <w:t xml:space="preserve"> at </w:t>
      </w:r>
      <w:r w:rsidR="000E5942">
        <w:rPr>
          <w:rFonts w:asciiTheme="minorHAnsi" w:hAnsiTheme="minorHAnsi" w:cstheme="minorHAnsi"/>
          <w:sz w:val="22"/>
          <w:szCs w:val="22"/>
        </w:rPr>
        <w:t>6 and 12 months</w:t>
      </w:r>
      <w:r w:rsidR="005103A0">
        <w:rPr>
          <w:rFonts w:asciiTheme="minorHAnsi" w:hAnsiTheme="minorHAnsi" w:cstheme="minorHAnsi"/>
          <w:sz w:val="22"/>
          <w:szCs w:val="22"/>
        </w:rPr>
        <w:t xml:space="preserve">, while larger outer levator distance was associated with incontinence at 12 months, and larger inner levator distance was associated with incontinence at 6 months. </w:t>
      </w:r>
      <w:r w:rsidR="004918ED">
        <w:rPr>
          <w:rFonts w:asciiTheme="minorHAnsi" w:hAnsiTheme="minorHAnsi" w:cstheme="minorHAnsi"/>
          <w:sz w:val="22"/>
          <w:szCs w:val="22"/>
        </w:rPr>
        <w:t xml:space="preserve"> They</w:t>
      </w:r>
      <w:r w:rsidR="00FF2CE6">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FF2CE6">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FF2CE6">
        <w:rPr>
          <w:rFonts w:asciiTheme="minorHAnsi" w:hAnsiTheme="minorHAnsi" w:cstheme="minorHAnsi"/>
          <w:sz w:val="22"/>
          <w:szCs w:val="22"/>
        </w:rPr>
        <w:fldChar w:fldCharType="end"/>
      </w:r>
      <w:r w:rsidR="004918ED">
        <w:rPr>
          <w:rFonts w:asciiTheme="minorHAnsi" w:hAnsiTheme="minorHAnsi" w:cstheme="minorHAnsi"/>
          <w:sz w:val="22"/>
          <w:szCs w:val="22"/>
        </w:rPr>
        <w:t xml:space="preserve"> also found that MUL and levator muscle distance</w:t>
      </w:r>
      <w:r w:rsidR="00F24D63">
        <w:rPr>
          <w:rFonts w:asciiTheme="minorHAnsi" w:hAnsiTheme="minorHAnsi" w:cstheme="minorHAnsi"/>
          <w:sz w:val="22"/>
          <w:szCs w:val="22"/>
        </w:rPr>
        <w:t xml:space="preserve"> </w:t>
      </w:r>
      <w:r w:rsidR="00961361">
        <w:rPr>
          <w:rFonts w:asciiTheme="minorHAnsi" w:hAnsiTheme="minorHAnsi" w:cstheme="minorHAnsi"/>
          <w:sz w:val="22"/>
          <w:szCs w:val="22"/>
        </w:rPr>
        <w:t xml:space="preserve">improved discrimination of a </w:t>
      </w:r>
      <w:r w:rsidR="00A67008">
        <w:rPr>
          <w:rFonts w:asciiTheme="minorHAnsi" w:hAnsiTheme="minorHAnsi" w:cstheme="minorHAnsi"/>
          <w:sz w:val="22"/>
          <w:szCs w:val="22"/>
        </w:rPr>
        <w:t xml:space="preserve">clinical </w:t>
      </w:r>
      <w:r w:rsidR="00961361">
        <w:rPr>
          <w:rFonts w:asciiTheme="minorHAnsi" w:hAnsiTheme="minorHAnsi" w:cstheme="minorHAnsi"/>
          <w:sz w:val="22"/>
          <w:szCs w:val="22"/>
        </w:rPr>
        <w:t>regression model when MRI variables were included</w:t>
      </w:r>
      <w:r w:rsidR="00F24D63">
        <w:rPr>
          <w:rFonts w:asciiTheme="minorHAnsi" w:hAnsiTheme="minorHAnsi" w:cstheme="minorHAnsi"/>
          <w:sz w:val="22"/>
          <w:szCs w:val="22"/>
        </w:rPr>
        <w:t xml:space="preserve">. </w:t>
      </w:r>
      <w:r w:rsidR="00FF2CE6">
        <w:rPr>
          <w:rFonts w:asciiTheme="minorHAnsi" w:hAnsiTheme="minorHAnsi" w:cstheme="minorHAnsi"/>
          <w:sz w:val="22"/>
          <w:szCs w:val="22"/>
        </w:rPr>
        <w:t xml:space="preserve">Although MUL was a significant predictor in all </w:t>
      </w:r>
      <w:r w:rsidR="002A0CA2">
        <w:rPr>
          <w:rFonts w:asciiTheme="minorHAnsi" w:hAnsiTheme="minorHAnsi" w:cstheme="minorHAnsi"/>
          <w:sz w:val="22"/>
          <w:szCs w:val="22"/>
        </w:rPr>
        <w:t xml:space="preserve">of </w:t>
      </w:r>
      <w:r w:rsidR="00FF2CE6">
        <w:rPr>
          <w:rFonts w:asciiTheme="minorHAnsi" w:hAnsiTheme="minorHAnsi" w:cstheme="minorHAnsi"/>
          <w:sz w:val="22"/>
          <w:szCs w:val="22"/>
        </w:rPr>
        <w:t xml:space="preserve">our models, we </w:t>
      </w:r>
      <w:r w:rsidR="008741A0">
        <w:rPr>
          <w:rFonts w:asciiTheme="minorHAnsi" w:hAnsiTheme="minorHAnsi" w:cstheme="minorHAnsi"/>
          <w:sz w:val="22"/>
          <w:szCs w:val="22"/>
        </w:rPr>
        <w:t xml:space="preserve">did not find inner or outer levator distance to have a significant </w:t>
      </w:r>
      <w:r w:rsidR="00B536F4">
        <w:rPr>
          <w:rFonts w:asciiTheme="minorHAnsi" w:hAnsiTheme="minorHAnsi" w:cstheme="minorHAnsi"/>
          <w:sz w:val="22"/>
          <w:szCs w:val="22"/>
        </w:rPr>
        <w:t xml:space="preserve">multivariable </w:t>
      </w:r>
      <w:r w:rsidR="000E5942">
        <w:rPr>
          <w:rFonts w:asciiTheme="minorHAnsi" w:hAnsiTheme="minorHAnsi" w:cstheme="minorHAnsi"/>
          <w:sz w:val="22"/>
          <w:szCs w:val="22"/>
        </w:rPr>
        <w:t>effect</w:t>
      </w:r>
      <w:r w:rsidR="00E52B52">
        <w:rPr>
          <w:rFonts w:asciiTheme="minorHAnsi" w:hAnsiTheme="minorHAnsi" w:cstheme="minorHAnsi"/>
          <w:sz w:val="22"/>
          <w:szCs w:val="22"/>
        </w:rPr>
        <w:t xml:space="preserve"> </w:t>
      </w:r>
      <w:r w:rsidR="00B536F4">
        <w:rPr>
          <w:rFonts w:asciiTheme="minorHAnsi" w:hAnsiTheme="minorHAnsi" w:cstheme="minorHAnsi"/>
          <w:sz w:val="22"/>
          <w:szCs w:val="22"/>
        </w:rPr>
        <w:t>(</w:t>
      </w:r>
      <w:r w:rsidR="00E52B52">
        <w:rPr>
          <w:rFonts w:asciiTheme="minorHAnsi" w:hAnsiTheme="minorHAnsi" w:cstheme="minorHAnsi"/>
          <w:sz w:val="22"/>
          <w:szCs w:val="22"/>
        </w:rPr>
        <w:t>inner levator distance at 3 months</w:t>
      </w:r>
      <w:r w:rsidR="00B536F4">
        <w:rPr>
          <w:rFonts w:asciiTheme="minorHAnsi" w:hAnsiTheme="minorHAnsi" w:cstheme="minorHAnsi"/>
          <w:sz w:val="22"/>
          <w:szCs w:val="22"/>
        </w:rPr>
        <w:t xml:space="preserve"> only was significant in univariable analysis)</w:t>
      </w:r>
      <w:r w:rsidR="008741A0">
        <w:rPr>
          <w:rFonts w:asciiTheme="minorHAnsi" w:hAnsiTheme="minorHAnsi" w:cstheme="minorHAnsi"/>
          <w:sz w:val="22"/>
          <w:szCs w:val="22"/>
        </w:rPr>
        <w:t xml:space="preserve">. </w:t>
      </w:r>
      <w:r w:rsidR="00F75A77">
        <w:rPr>
          <w:rFonts w:asciiTheme="minorHAnsi" w:hAnsiTheme="minorHAnsi" w:cstheme="minorHAnsi"/>
          <w:sz w:val="22"/>
          <w:szCs w:val="22"/>
        </w:rPr>
        <w:t xml:space="preserve">Our study </w:t>
      </w:r>
      <w:r w:rsidR="00B536F4">
        <w:rPr>
          <w:rFonts w:asciiTheme="minorHAnsi" w:hAnsiTheme="minorHAnsi" w:cstheme="minorHAnsi"/>
          <w:sz w:val="22"/>
          <w:szCs w:val="22"/>
        </w:rPr>
        <w:t>differed</w:t>
      </w:r>
      <w:r w:rsidR="00F75A77">
        <w:rPr>
          <w:rFonts w:asciiTheme="minorHAnsi" w:hAnsiTheme="minorHAnsi" w:cstheme="minorHAnsi"/>
          <w:sz w:val="22"/>
          <w:szCs w:val="22"/>
        </w:rPr>
        <w:t xml:space="preserve"> in that </w:t>
      </w:r>
      <w:r w:rsidR="002A0CA2">
        <w:rPr>
          <w:rFonts w:asciiTheme="minorHAnsi" w:hAnsiTheme="minorHAnsi" w:cstheme="minorHAnsi"/>
          <w:sz w:val="22"/>
          <w:szCs w:val="22"/>
        </w:rPr>
        <w:t xml:space="preserve">we evaluated continence outcomes at 3 months post-RP and we report </w:t>
      </w:r>
      <w:r w:rsidR="00B536F4">
        <w:rPr>
          <w:rFonts w:asciiTheme="minorHAnsi" w:hAnsiTheme="minorHAnsi" w:cstheme="minorHAnsi"/>
          <w:sz w:val="22"/>
          <w:szCs w:val="22"/>
        </w:rPr>
        <w:t xml:space="preserve">multivariable </w:t>
      </w:r>
      <w:r w:rsidR="002A0CA2">
        <w:rPr>
          <w:rFonts w:asciiTheme="minorHAnsi" w:hAnsiTheme="minorHAnsi" w:cstheme="minorHAnsi"/>
          <w:sz w:val="22"/>
          <w:szCs w:val="22"/>
        </w:rPr>
        <w:t>ORs for all variables</w:t>
      </w:r>
      <w:r w:rsidR="00F75A77">
        <w:rPr>
          <w:rFonts w:asciiTheme="minorHAnsi" w:hAnsiTheme="minorHAnsi" w:cstheme="minorHAnsi"/>
          <w:sz w:val="22"/>
          <w:szCs w:val="22"/>
        </w:rPr>
        <w:t xml:space="preserve">. </w:t>
      </w:r>
      <w:proofErr w:type="spellStart"/>
      <w:r w:rsidR="00975885">
        <w:rPr>
          <w:rFonts w:asciiTheme="minorHAnsi" w:hAnsiTheme="minorHAnsi" w:cstheme="minorHAnsi"/>
          <w:sz w:val="22"/>
          <w:szCs w:val="22"/>
        </w:rPr>
        <w:t>Tienza</w:t>
      </w:r>
      <w:proofErr w:type="spellEnd"/>
      <w:r w:rsidR="00975885">
        <w:rPr>
          <w:rFonts w:asciiTheme="minorHAnsi" w:hAnsiTheme="minorHAnsi" w:cstheme="minorHAnsi"/>
          <w:sz w:val="22"/>
          <w:szCs w:val="22"/>
        </w:rPr>
        <w:t xml:space="preserve"> et al.</w:t>
      </w:r>
      <w:r w:rsidR="00975885">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{"citationItems":[{"id":"ITEM-1","itemData":{"DOI":"10.1007/s11255-015-1019-8","ISSN":"15732584","abstract":"Purpose: Prostate cancer can be treated by radical prostatectomy (RP) and provoke a troublesome side effect: urinary incontinence (UI). We propose a verification of the usefulness of MRI and an identification of which structures are involved in UI after RP. Methods: Between September 2002 and December 2011, 550 patients underwent RP. We performed MRI to evaluate extraprostatic disease before surgery. To evaluate patient status, we measured the following structures: length (LP), width (WP), height (HP) and volume (PV) of the prostate, membranous urethral length (MUL), urethral wall thickness (UWT), levator ani muscle (LAM) and obturator internus muscle (OIM) thickness, ratio of levator ani muscle/prostate volume (LAM/PV), volume of the urethra (VU). UI was defined according to ICS definition as the complaint of any involuntary leakage of urine and evaluated 1 year after surgery. Analyses were performed by mean comparisons, univariate and multivariate logistic regression with a 1000-resample bootstrapping. Results: Means of measurements were: LP 4.46 cm, WP 5.15 cm, HP 3.9 cm, PV 49.3 cc; LAM 0.51 cm, OIM 1.46 cm; MUL 1.43 cm, UWT 1.38 cm; and LAM/PV 0.013 cm/cc, VU 2.33 cc. One hundred and twenty-two (22.2 %) patients complained of urine leakage. Univariate obtained differences in PV, OIM, MUL, and UWT. After adjusting by confounders, multivariate analysis showed: MUL: [OR 0.134; CI 95 % (0.022–0.493); P 0.006]; PV: [OR 1.016; CI 95 % (1.004–1.029); P 0.005]; UWT: [OR 6.03; CI 95 % (1.068–44.1); P 0.033]. Conclusions: MRI is a useful tool to predict UI after RP. The MUL and PV are well-identified structures that are involved in UI. Our study shows that UWT also influences UI.","author":[{"dropping-particle":"","family":"Tienza","given":"Antonio","non-dropping-particle":"","parse-names":false,"suffix":""},{"dropping-particle":"","family":"Hevia","given":"Mateo","non-dropping-particle":"","parse-names":false,"suffix":""},{"dropping-particle":"","family":"Benito","given":"Alberto","non-dropping-particle":"","parse-names":false,"suffix":""},{"dropping-particle":"","family":"Pascual","given":"Juan I.","non-dropping-particle":"","parse-names":false,"suffix":""},{"dropping-particle":"","family":"Zudaire","given":"Juan Javier","non-dropping-particle":"","parse-names":false,"suffix":""},{"dropping-particle":"","family":"Robles","given":"Jose Enrique","non-dropping-particle":"","parse-names":false,"suffix":""}],"container-title":"International Urology and Nephrology","id":"ITEM-1","issue":"8","issued":{"date-parts":[["2015","8","31"]]},"page":"1343-1349","publisher":"Kluwer Academic Publishers","title":"MRI factors to predict urinary incontinence after retropubic/laparoscopic radical prostatectomy","type":"article-journal","volume":"47"},"uris":["http://www.mendeley.com/documents/?uuid=67c1c79f-928a-3c85-9bc1-9b9afe5d55e9"]}],"mendeley":{"formattedCitation":"&lt;sup&gt;16&lt;/sup&gt;","plainTextFormattedCitation":"16","previouslyFormattedCitation":"&lt;sup&gt;16&lt;/sup&gt;"},"properties":{"noteIndex":0},"schema":"https://github.com/citation-style-language/schema/raw/master/csl-citation.json"}</w:instrText>
      </w:r>
      <w:r w:rsidR="00975885">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16</w:t>
      </w:r>
      <w:r w:rsidR="00975885">
        <w:rPr>
          <w:rFonts w:asciiTheme="minorHAnsi" w:hAnsiTheme="minorHAnsi" w:cstheme="minorHAnsi"/>
          <w:sz w:val="22"/>
          <w:szCs w:val="22"/>
        </w:rPr>
        <w:fldChar w:fldCharType="end"/>
      </w:r>
      <w:r w:rsidR="00975885">
        <w:rPr>
          <w:rFonts w:asciiTheme="minorHAnsi" w:hAnsiTheme="minorHAnsi" w:cstheme="minorHAnsi"/>
          <w:sz w:val="22"/>
          <w:szCs w:val="22"/>
        </w:rPr>
        <w:t xml:space="preserve"> </w:t>
      </w:r>
      <w:r w:rsidR="00214D1A">
        <w:rPr>
          <w:rFonts w:asciiTheme="minorHAnsi" w:hAnsiTheme="minorHAnsi" w:cstheme="minorHAnsi"/>
          <w:sz w:val="22"/>
          <w:szCs w:val="22"/>
        </w:rPr>
        <w:t>and others</w:t>
      </w:r>
      <w:r w:rsidR="00214D1A" w:rsidRPr="0053079C">
        <w:rPr>
          <w:rFonts w:asciiTheme="minorHAnsi" w:hAnsiTheme="minorHAnsi" w:cstheme="minorHAnsi"/>
          <w:noProof/>
          <w:sz w:val="22"/>
          <w:szCs w:val="22"/>
          <w:vertAlign w:val="superscript"/>
        </w:rPr>
        <w:t>9–11</w:t>
      </w:r>
      <w:r w:rsidR="00214D1A">
        <w:rPr>
          <w:rFonts w:asciiTheme="minorHAnsi" w:hAnsiTheme="minorHAnsi" w:cstheme="minorHAnsi"/>
          <w:sz w:val="22"/>
          <w:szCs w:val="22"/>
        </w:rPr>
        <w:t xml:space="preserve"> </w:t>
      </w:r>
      <w:r w:rsidR="00975885">
        <w:rPr>
          <w:rFonts w:asciiTheme="minorHAnsi" w:hAnsiTheme="minorHAnsi" w:cstheme="minorHAnsi"/>
          <w:sz w:val="22"/>
          <w:szCs w:val="22"/>
        </w:rPr>
        <w:t xml:space="preserve">found </w:t>
      </w:r>
      <w:r w:rsidR="0083152E">
        <w:rPr>
          <w:rFonts w:asciiTheme="minorHAnsi" w:hAnsiTheme="minorHAnsi" w:cstheme="minorHAnsi"/>
          <w:sz w:val="22"/>
          <w:szCs w:val="22"/>
        </w:rPr>
        <w:t xml:space="preserve">a larger </w:t>
      </w:r>
      <w:r w:rsidR="00975885">
        <w:rPr>
          <w:rFonts w:asciiTheme="minorHAnsi" w:hAnsiTheme="minorHAnsi" w:cstheme="minorHAnsi"/>
          <w:sz w:val="22"/>
          <w:szCs w:val="22"/>
        </w:rPr>
        <w:t>prostate volume</w:t>
      </w:r>
      <w:r w:rsidR="0083152E">
        <w:rPr>
          <w:rFonts w:asciiTheme="minorHAnsi" w:hAnsiTheme="minorHAnsi" w:cstheme="minorHAnsi"/>
          <w:sz w:val="22"/>
          <w:szCs w:val="22"/>
        </w:rPr>
        <w:t xml:space="preserve"> to be associated with </w:t>
      </w:r>
      <w:r w:rsidR="0036376D">
        <w:rPr>
          <w:rFonts w:asciiTheme="minorHAnsi" w:hAnsiTheme="minorHAnsi" w:cstheme="minorHAnsi"/>
          <w:sz w:val="22"/>
          <w:szCs w:val="22"/>
        </w:rPr>
        <w:t xml:space="preserve">an </w:t>
      </w:r>
      <w:r w:rsidR="0083152E">
        <w:rPr>
          <w:rFonts w:asciiTheme="minorHAnsi" w:hAnsiTheme="minorHAnsi" w:cstheme="minorHAnsi"/>
          <w:sz w:val="22"/>
          <w:szCs w:val="22"/>
        </w:rPr>
        <w:t xml:space="preserve">increased risk of incontinence </w:t>
      </w:r>
      <w:r w:rsidR="004918ED">
        <w:rPr>
          <w:rFonts w:asciiTheme="minorHAnsi" w:hAnsiTheme="minorHAnsi" w:cstheme="minorHAnsi"/>
          <w:sz w:val="22"/>
          <w:szCs w:val="22"/>
        </w:rPr>
        <w:t>post-</w:t>
      </w:r>
      <w:r w:rsidR="0036376D">
        <w:rPr>
          <w:rFonts w:asciiTheme="minorHAnsi" w:hAnsiTheme="minorHAnsi" w:cstheme="minorHAnsi"/>
          <w:sz w:val="22"/>
          <w:szCs w:val="22"/>
        </w:rPr>
        <w:t>RP.</w:t>
      </w:r>
      <w:r w:rsidR="004918ED">
        <w:rPr>
          <w:rFonts w:asciiTheme="minorHAnsi" w:hAnsiTheme="minorHAnsi" w:cstheme="minorHAnsi"/>
          <w:sz w:val="22"/>
          <w:szCs w:val="22"/>
        </w:rPr>
        <w:t xml:space="preserve"> In our models, prostate volume had a minor effect at 3 months, </w:t>
      </w:r>
      <w:r w:rsidR="004918ED">
        <w:rPr>
          <w:rFonts w:asciiTheme="minorHAnsi" w:hAnsiTheme="minorHAnsi" w:cstheme="minorHAnsi"/>
          <w:sz w:val="22"/>
          <w:szCs w:val="22"/>
        </w:rPr>
        <w:lastRenderedPageBreak/>
        <w:t xml:space="preserve">but </w:t>
      </w:r>
      <w:r w:rsidR="00C121A5">
        <w:rPr>
          <w:rFonts w:asciiTheme="minorHAnsi" w:hAnsiTheme="minorHAnsi" w:cstheme="minorHAnsi"/>
          <w:sz w:val="22"/>
          <w:szCs w:val="22"/>
        </w:rPr>
        <w:t>was not significant</w:t>
      </w:r>
      <w:r w:rsidR="004918ED">
        <w:rPr>
          <w:rFonts w:asciiTheme="minorHAnsi" w:hAnsiTheme="minorHAnsi" w:cstheme="minorHAnsi"/>
          <w:sz w:val="22"/>
          <w:szCs w:val="22"/>
        </w:rPr>
        <w:t xml:space="preserve"> at 6 and 12 months.</w:t>
      </w:r>
      <w:r w:rsidR="00B0108A">
        <w:rPr>
          <w:rFonts w:asciiTheme="minorHAnsi" w:hAnsiTheme="minorHAnsi" w:cstheme="minorHAnsi"/>
          <w:sz w:val="22"/>
          <w:szCs w:val="22"/>
        </w:rPr>
        <w:t xml:space="preserve"> Unlike Regis et al</w:t>
      </w:r>
      <w:r w:rsidR="00B0108A">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2018.02.175","author":[{"dropping-particle":"","family":"Regis","given":"Lucas","non-dropping-particle":"","parse-names":false,"suffix":""},{"dropping-particle":"","family":"Cuadras","given":"Merce","non-dropping-particle":"","parse-names":false,"suffix":""},{"dropping-particle":"","family":"Miret","given":"Enric","non-dropping-particle":"","parse-names":false,"suffix":""},{"dropping-particle":"","family":"Lopez","given":"Ricardo","non-dropping-particle":"","parse-names":false,"suffix":""},{"dropping-particle":"","family":"Salazar","given":"Aina","non-dropping-particle":"","parse-names":false,"suffix":""},{"dropping-particle":"","family":"Roche","given":"Sarai","non-dropping-particle":"","parse-names":false,"suffix":""},{"dropping-particle":"","family":"Celma","given":"Ana","non-dropping-particle":"","parse-names":false,"suffix":""},{"dropping-particle":"","family":"Lorente","given":"David","non-dropping-particle":"","parse-names":false,"suffix":""},{"dropping-particle":"","family":"Placer","given":"Jose","non-dropping-particle":"","parse-names":false,"suffix":""},{"dropping-particle":"","family":"Planas","given":"Jacques","non-dropping-particle":"","parse-names":false,"suffix":""},{"dropping-particle":"","family":"Trilla","given":"Enrique","non-dropping-particle":"","parse-names":false,"suffix":""},{"dropping-particle":"","family":"Morote","given":"Juan","non-dropping-particle":"","parse-names":false,"suffix":""}],"container-title":"The Journal of Urology","id":"ITEM-1","issued":{"date-parts":[["2018"]]},"publisher":"Wolters KluwerPhiladelphia, PA","title":"MP05-04 ANATOMICAL BENCHMARKS IN PREOPERATIVE MAGNETIC RESONANCE IMAGING PREDICT EARLY CONTINENCE RECOVERY FOLLOWING ROBOTIC RADICAL PROSTATECTOMY","type":"article-journal"},"uris":["http://www.mendeley.com/documents/?uuid=6905cf00-93b7-31d2-a740-301f807cdbee"]}],"mendeley":{"formattedCitation":"&lt;sup&gt;19&lt;/sup&gt;","plainTextFormattedCitation":"19","previouslyFormattedCitation":"&lt;sup&gt;19&lt;/sup&gt;"},"properties":{"noteIndex":0},"schema":"https://github.com/citation-style-language/schema/raw/master/csl-citation.json"}</w:instrText>
      </w:r>
      <w:r w:rsidR="00B0108A">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19</w:t>
      </w:r>
      <w:r w:rsidR="00B0108A">
        <w:rPr>
          <w:rFonts w:asciiTheme="minorHAnsi" w:hAnsiTheme="minorHAnsi" w:cstheme="minorHAnsi"/>
          <w:sz w:val="22"/>
          <w:szCs w:val="22"/>
        </w:rPr>
        <w:fldChar w:fldCharType="end"/>
      </w:r>
      <w:r w:rsidR="00B0108A">
        <w:rPr>
          <w:rFonts w:asciiTheme="minorHAnsi" w:hAnsiTheme="minorHAnsi" w:cstheme="minorHAnsi"/>
          <w:sz w:val="22"/>
          <w:szCs w:val="22"/>
        </w:rPr>
        <w:t xml:space="preserve">, we did not find </w:t>
      </w:r>
      <w:proofErr w:type="spellStart"/>
      <w:r w:rsidR="00B0108A">
        <w:rPr>
          <w:rFonts w:asciiTheme="minorHAnsi" w:hAnsiTheme="minorHAnsi" w:cstheme="minorHAnsi"/>
          <w:sz w:val="22"/>
          <w:szCs w:val="22"/>
        </w:rPr>
        <w:t>aMUP</w:t>
      </w:r>
      <w:proofErr w:type="spellEnd"/>
      <w:r w:rsidR="00B0108A">
        <w:rPr>
          <w:rFonts w:asciiTheme="minorHAnsi" w:hAnsiTheme="minorHAnsi" w:cstheme="minorHAnsi"/>
          <w:sz w:val="22"/>
          <w:szCs w:val="22"/>
        </w:rPr>
        <w:t xml:space="preserve"> to </w:t>
      </w:r>
      <w:r w:rsidR="004918ED">
        <w:rPr>
          <w:rFonts w:asciiTheme="minorHAnsi" w:hAnsiTheme="minorHAnsi" w:cstheme="minorHAnsi"/>
          <w:sz w:val="22"/>
          <w:szCs w:val="22"/>
        </w:rPr>
        <w:t xml:space="preserve">be </w:t>
      </w:r>
      <w:r w:rsidR="00C7706B">
        <w:rPr>
          <w:rFonts w:asciiTheme="minorHAnsi" w:hAnsiTheme="minorHAnsi" w:cstheme="minorHAnsi"/>
          <w:sz w:val="22"/>
          <w:szCs w:val="22"/>
        </w:rPr>
        <w:t>predict</w:t>
      </w:r>
      <w:r w:rsidR="004918ED">
        <w:rPr>
          <w:rFonts w:asciiTheme="minorHAnsi" w:hAnsiTheme="minorHAnsi" w:cstheme="minorHAnsi"/>
          <w:sz w:val="22"/>
          <w:szCs w:val="22"/>
        </w:rPr>
        <w:t>ive of</w:t>
      </w:r>
      <w:r w:rsidR="00B0108A">
        <w:rPr>
          <w:rFonts w:asciiTheme="minorHAnsi" w:hAnsiTheme="minorHAnsi" w:cstheme="minorHAnsi"/>
          <w:sz w:val="22"/>
          <w:szCs w:val="22"/>
        </w:rPr>
        <w:t xml:space="preserve"> continence post-RP</w:t>
      </w:r>
      <w:r w:rsidR="000224C7">
        <w:rPr>
          <w:rFonts w:asciiTheme="minorHAnsi" w:hAnsiTheme="minorHAnsi" w:cstheme="minorHAnsi"/>
          <w:sz w:val="22"/>
          <w:szCs w:val="22"/>
        </w:rPr>
        <w:t xml:space="preserve">. We also did not find a significant predictive effect for the </w:t>
      </w:r>
      <w:proofErr w:type="spellStart"/>
      <w:r w:rsidR="000224C7">
        <w:rPr>
          <w:rFonts w:asciiTheme="minorHAnsi" w:hAnsiTheme="minorHAnsi" w:cstheme="minorHAnsi"/>
          <w:sz w:val="22"/>
          <w:szCs w:val="22"/>
        </w:rPr>
        <w:t>pubourethral</w:t>
      </w:r>
      <w:proofErr w:type="spellEnd"/>
      <w:r w:rsidR="000224C7">
        <w:rPr>
          <w:rFonts w:asciiTheme="minorHAnsi" w:hAnsiTheme="minorHAnsi" w:cstheme="minorHAnsi"/>
          <w:sz w:val="22"/>
          <w:szCs w:val="22"/>
        </w:rPr>
        <w:t xml:space="preserve"> angle</w:t>
      </w:r>
      <w:r w:rsidR="000224C7">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{"citationItems":[{"id":"ITEM-1","itemData":{"DOI":"10.1007/s00192-004-1228-7","ISSN":"09373462","abstract":"Ultrasound is a supplementary, indispensable diagnostic procedure in urogynecology; perineal, introital, and endoanal ultrasound are the most recommended techniques. The position and mobility of the bladder neck can be demonstrated. In patients undergoing diagnostic work-up for urge symptoms, ultrasound occasionally demonstrates urethral diverticula, leiomyomas, and cysts in the vaginal wall. These findings will lead to further diagnostic assessment. The same applies to the demonstration of bladder diverticula, foreign bodies in the bladder, and bullous edema. With endoanal ultrasound, different parts of the sphincter ani muscle can be evaluated. Recommendations for the standardized use of urogenital ultrasound are given. © International Urogynecology Journal 2004.","author":[{"dropping-particle":"","family":"Tunn","given":"R.","non-dropping-particle":"","parse-names":false,"suffix":""},{"dropping-particle":"","family":"Schaer","given":"G.","non-dropping-particle":"","parse-names":false,"suffix":""},{"dropping-particle":"","family":"Peschers","given":"Ursula","non-dropping-particle":"","parse-names":false,"suffix":""},{"dropping-particle":"","family":"Bader","given":"W.","non-dropping-particle":"","parse-names":false,"suffix":""},{"dropping-particle":"","family":"Gauruder","given":"A.","non-dropping-particle":"","parse-names":false,"suffix":""},{"dropping-particle":"","family":"Hanzal","given":"E.","non-dropping-particle":"","parse-names":false,"suffix":""},{"dropping-particle":"","family":"Koelbl","given":"H.","non-dropping-particle":"","parse-names":false,"suffix":""},{"dropping-particle":"","family":"Koelle","given":"D.","non-dropping-particle":"","parse-names":false,"suffix":""},{"dropping-particle":"","family":"Perucchini","given":"D.","non-dropping-particle":"","parse-names":false,"suffix":""},{"dropping-particle":"","family":"Petri","given":"E.","non-dropping-particle":"","parse-names":false,"suffix":""},{"dropping-particle":"","family":"Riss","given":"P.","non-dropping-particle":"","parse-names":false,"suffix":""},{"dropping-particle":"","family":"Schuessler","given":"B.","non-dropping-particle":"","parse-names":false,"suffix":""},{"dropping-particle":"","family":"Viereck","given":"V.","non-dropping-particle":"","parse-names":false,"suffix":""}],"container-title":"International Urogynecology Journal","id":"ITEM-1","issue":"3","issued":{"date-parts":[["2005"]]},"page":"236-241","publisher":"Springer London","title":"Updated recommendations on ultrasonography in urogynecology","type":"article","volume":"16"},"uris":["http://www.mendeley.com/documents/?uuid=82cb6347-3dd3-333a-b565-a8cae667de91"]}],"mendeley":{"formattedCitation":"&lt;sup&gt;21&lt;/sup&gt;","plainTextFormattedCitation":"21","previouslyFormattedCitation":"&lt;sup&gt;21&lt;/sup&gt;"},"properties":{"noteIndex":0},"schema":"https://github.com/citation-style-language/schema/raw/master/csl-citation.json"}</w:instrText>
      </w:r>
      <w:r w:rsidR="000224C7">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21</w:t>
      </w:r>
      <w:r w:rsidR="000224C7">
        <w:rPr>
          <w:rFonts w:asciiTheme="minorHAnsi" w:hAnsiTheme="minorHAnsi" w:cstheme="minorHAnsi"/>
          <w:sz w:val="22"/>
          <w:szCs w:val="22"/>
        </w:rPr>
        <w:fldChar w:fldCharType="end"/>
      </w:r>
      <w:r w:rsidR="00FF2CE6">
        <w:rPr>
          <w:rFonts w:asciiTheme="minorHAnsi" w:hAnsiTheme="minorHAnsi" w:cstheme="minorHAnsi"/>
          <w:sz w:val="22"/>
          <w:szCs w:val="22"/>
        </w:rPr>
        <w:t xml:space="preserve">. Of </w:t>
      </w:r>
      <w:r w:rsidR="009811E3">
        <w:rPr>
          <w:rFonts w:asciiTheme="minorHAnsi" w:hAnsiTheme="minorHAnsi" w:cstheme="minorHAnsi"/>
          <w:sz w:val="22"/>
          <w:szCs w:val="22"/>
        </w:rPr>
        <w:t xml:space="preserve">the </w:t>
      </w:r>
      <w:r w:rsidR="00FF2CE6">
        <w:rPr>
          <w:rFonts w:asciiTheme="minorHAnsi" w:hAnsiTheme="minorHAnsi" w:cstheme="minorHAnsi"/>
          <w:sz w:val="22"/>
          <w:szCs w:val="22"/>
        </w:rPr>
        <w:t>6 MRI-based anatomic measures of continence we studied, only MUL was found to be an important predictor of post-RP continence.</w:t>
      </w:r>
      <w:r w:rsidR="00B279AB">
        <w:rPr>
          <w:rFonts w:asciiTheme="minorHAnsi" w:hAnsiTheme="minorHAnsi" w:cstheme="minorHAnsi"/>
          <w:sz w:val="22"/>
          <w:szCs w:val="22"/>
        </w:rPr>
        <w:t xml:space="preserve"> </w:t>
      </w:r>
    </w:p>
    <w:p w14:paraId="7349A156" w14:textId="64A33E98" w:rsidR="00061DFC" w:rsidRDefault="00C524B3" w:rsidP="00A575CD">
      <w:pPr>
        <w:spacing w:line="480" w:lineRule="auto"/>
        <w:ind w:firstLine="720"/>
        <w:rPr>
          <w:rFonts w:asciiTheme="minorHAnsi" w:hAnsiTheme="minorHAnsi" w:cstheme="minorHAnsi"/>
          <w:sz w:val="22"/>
          <w:szCs w:val="22"/>
        </w:rPr>
      </w:pPr>
      <w:r>
        <w:rPr>
          <w:rFonts w:asciiTheme="minorHAnsi" w:hAnsiTheme="minorHAnsi" w:cstheme="minorHAnsi"/>
          <w:sz w:val="22"/>
          <w:szCs w:val="22"/>
        </w:rPr>
        <w:t xml:space="preserve">Following training, we </w:t>
      </w:r>
      <w:r w:rsidR="00162A94">
        <w:rPr>
          <w:rFonts w:asciiTheme="minorHAnsi" w:hAnsiTheme="minorHAnsi" w:cstheme="minorHAnsi"/>
          <w:sz w:val="22"/>
          <w:szCs w:val="22"/>
        </w:rPr>
        <w:t>observed</w:t>
      </w:r>
      <w:r w:rsidR="00061DFC">
        <w:rPr>
          <w:rFonts w:asciiTheme="minorHAnsi" w:hAnsiTheme="minorHAnsi" w:cstheme="minorHAnsi"/>
          <w:sz w:val="22"/>
          <w:szCs w:val="22"/>
        </w:rPr>
        <w:t xml:space="preserve"> fair </w:t>
      </w:r>
      <w:r w:rsidR="00C13A60">
        <w:rPr>
          <w:rFonts w:asciiTheme="minorHAnsi" w:hAnsiTheme="minorHAnsi" w:cstheme="minorHAnsi"/>
          <w:sz w:val="22"/>
          <w:szCs w:val="22"/>
        </w:rPr>
        <w:t>or greater</w:t>
      </w:r>
      <w:r>
        <w:rPr>
          <w:rFonts w:asciiTheme="minorHAnsi" w:hAnsiTheme="minorHAnsi" w:cstheme="minorHAnsi"/>
          <w:sz w:val="22"/>
          <w:szCs w:val="22"/>
        </w:rPr>
        <w:t xml:space="preserve"> inter-rater</w:t>
      </w:r>
      <w:r w:rsidR="00C13A60">
        <w:rPr>
          <w:rFonts w:asciiTheme="minorHAnsi" w:hAnsiTheme="minorHAnsi" w:cstheme="minorHAnsi"/>
          <w:sz w:val="22"/>
          <w:szCs w:val="22"/>
        </w:rPr>
        <w:t xml:space="preserve"> </w:t>
      </w:r>
      <w:r w:rsidR="00061DFC">
        <w:rPr>
          <w:rFonts w:asciiTheme="minorHAnsi" w:hAnsiTheme="minorHAnsi" w:cstheme="minorHAnsi"/>
          <w:sz w:val="22"/>
          <w:szCs w:val="22"/>
        </w:rPr>
        <w:t xml:space="preserve">agreement </w:t>
      </w:r>
      <w:r w:rsidR="00C13A60">
        <w:rPr>
          <w:rFonts w:asciiTheme="minorHAnsi" w:hAnsiTheme="minorHAnsi" w:cstheme="minorHAnsi"/>
          <w:sz w:val="22"/>
          <w:szCs w:val="22"/>
        </w:rPr>
        <w:t xml:space="preserve">for </w:t>
      </w:r>
      <w:r w:rsidR="00061DFC">
        <w:rPr>
          <w:rFonts w:asciiTheme="minorHAnsi" w:hAnsiTheme="minorHAnsi" w:cstheme="minorHAnsi"/>
          <w:sz w:val="22"/>
          <w:szCs w:val="22"/>
        </w:rPr>
        <w:t xml:space="preserve">all </w:t>
      </w:r>
      <w:r w:rsidR="00792F7B">
        <w:rPr>
          <w:rFonts w:asciiTheme="minorHAnsi" w:hAnsiTheme="minorHAnsi" w:cstheme="minorHAnsi"/>
          <w:sz w:val="22"/>
          <w:szCs w:val="22"/>
        </w:rPr>
        <w:t xml:space="preserve">retrospectively </w:t>
      </w:r>
      <w:r w:rsidR="00950794">
        <w:rPr>
          <w:rFonts w:asciiTheme="minorHAnsi" w:hAnsiTheme="minorHAnsi" w:cstheme="minorHAnsi"/>
          <w:sz w:val="22"/>
          <w:szCs w:val="22"/>
        </w:rPr>
        <w:t xml:space="preserve">obtained </w:t>
      </w:r>
      <w:r w:rsidR="00792F7B">
        <w:rPr>
          <w:rFonts w:asciiTheme="minorHAnsi" w:hAnsiTheme="minorHAnsi" w:cstheme="minorHAnsi"/>
          <w:sz w:val="22"/>
          <w:szCs w:val="22"/>
        </w:rPr>
        <w:t xml:space="preserve">MRI </w:t>
      </w:r>
      <w:r w:rsidR="00061DFC">
        <w:rPr>
          <w:rFonts w:asciiTheme="minorHAnsi" w:hAnsiTheme="minorHAnsi" w:cstheme="minorHAnsi"/>
          <w:sz w:val="22"/>
          <w:szCs w:val="22"/>
        </w:rPr>
        <w:t>measures</w:t>
      </w:r>
      <w:r w:rsidR="00A575CD">
        <w:rPr>
          <w:rFonts w:asciiTheme="minorHAnsi" w:hAnsiTheme="minorHAnsi" w:cstheme="minorHAnsi"/>
          <w:sz w:val="22"/>
          <w:szCs w:val="22"/>
        </w:rPr>
        <w:t xml:space="preserve">. </w:t>
      </w:r>
      <w:r w:rsidR="00061DFC">
        <w:rPr>
          <w:rFonts w:asciiTheme="minorHAnsi" w:hAnsiTheme="minorHAnsi" w:cstheme="minorHAnsi"/>
          <w:sz w:val="22"/>
          <w:szCs w:val="22"/>
        </w:rPr>
        <w:t xml:space="preserve">For coronal MUL, interrater agreement </w:t>
      </w:r>
      <w:r w:rsidR="00950794">
        <w:rPr>
          <w:rFonts w:asciiTheme="minorHAnsi" w:hAnsiTheme="minorHAnsi" w:cstheme="minorHAnsi"/>
          <w:sz w:val="22"/>
          <w:szCs w:val="22"/>
        </w:rPr>
        <w:t xml:space="preserve">was </w:t>
      </w:r>
      <w:r w:rsidR="008D3031">
        <w:rPr>
          <w:rFonts w:asciiTheme="minorHAnsi" w:hAnsiTheme="minorHAnsi" w:cstheme="minorHAnsi"/>
          <w:sz w:val="22"/>
          <w:szCs w:val="22"/>
        </w:rPr>
        <w:t xml:space="preserve">moderate </w:t>
      </w:r>
      <w:r w:rsidR="00950794">
        <w:rPr>
          <w:rFonts w:asciiTheme="minorHAnsi" w:hAnsiTheme="minorHAnsi" w:cstheme="minorHAnsi"/>
          <w:sz w:val="22"/>
          <w:szCs w:val="22"/>
        </w:rPr>
        <w:t>following training</w:t>
      </w:r>
      <w:r w:rsidR="00B279AB">
        <w:rPr>
          <w:rFonts w:asciiTheme="minorHAnsi" w:hAnsiTheme="minorHAnsi" w:cstheme="minorHAnsi"/>
          <w:sz w:val="22"/>
          <w:szCs w:val="22"/>
        </w:rPr>
        <w:t xml:space="preserve"> (ICC=0.62)</w:t>
      </w:r>
      <w:r w:rsidR="00950794">
        <w:rPr>
          <w:rFonts w:asciiTheme="minorHAnsi" w:hAnsiTheme="minorHAnsi" w:cstheme="minorHAnsi"/>
          <w:sz w:val="22"/>
          <w:szCs w:val="22"/>
        </w:rPr>
        <w:t xml:space="preserve"> but poor </w:t>
      </w:r>
      <w:r w:rsidR="00E523A9">
        <w:rPr>
          <w:rFonts w:asciiTheme="minorHAnsi" w:hAnsiTheme="minorHAnsi" w:cstheme="minorHAnsi"/>
          <w:sz w:val="22"/>
          <w:szCs w:val="22"/>
        </w:rPr>
        <w:t>between the trained readers and the original prospective interpretation (ICC=0.38)</w:t>
      </w:r>
      <w:r w:rsidR="00061DFC">
        <w:rPr>
          <w:rFonts w:asciiTheme="minorHAnsi" w:hAnsiTheme="minorHAnsi" w:cstheme="minorHAnsi"/>
          <w:sz w:val="22"/>
          <w:szCs w:val="22"/>
        </w:rPr>
        <w:t xml:space="preserve">. </w:t>
      </w:r>
      <w:r w:rsidR="00E523A9">
        <w:rPr>
          <w:rFonts w:asciiTheme="minorHAnsi" w:hAnsiTheme="minorHAnsi" w:cstheme="minorHAnsi"/>
          <w:sz w:val="22"/>
          <w:szCs w:val="22"/>
        </w:rPr>
        <w:t>This implies that if MUL is going to be incorporated into clinical practice, specific training is needed to ensure that the measurements are being performed accurately and consistently. The</w:t>
      </w:r>
      <w:r w:rsidR="008D3031">
        <w:rPr>
          <w:rFonts w:asciiTheme="minorHAnsi" w:hAnsiTheme="minorHAnsi" w:cstheme="minorHAnsi"/>
          <w:sz w:val="22"/>
          <w:szCs w:val="22"/>
        </w:rPr>
        <w:t xml:space="preserve"> study-related</w:t>
      </w:r>
      <w:r w:rsidR="00E523A9">
        <w:rPr>
          <w:rFonts w:asciiTheme="minorHAnsi" w:hAnsiTheme="minorHAnsi" w:cstheme="minorHAnsi"/>
          <w:sz w:val="22"/>
          <w:szCs w:val="22"/>
        </w:rPr>
        <w:t xml:space="preserve"> inter-rater agreement we observed was superior to what was observed by</w:t>
      </w:r>
      <w:r w:rsidR="00B279AB">
        <w:rPr>
          <w:rFonts w:asciiTheme="minorHAnsi" w:hAnsiTheme="minorHAnsi" w:cstheme="minorHAnsi"/>
          <w:sz w:val="22"/>
          <w:szCs w:val="22"/>
        </w:rPr>
        <w:t xml:space="preserve"> </w:t>
      </w:r>
      <w:proofErr w:type="spellStart"/>
      <w:r w:rsidR="00B279AB">
        <w:rPr>
          <w:rFonts w:asciiTheme="minorHAnsi" w:hAnsiTheme="minorHAnsi" w:cstheme="minorHAnsi"/>
          <w:sz w:val="22"/>
          <w:szCs w:val="22"/>
        </w:rPr>
        <w:t>Curci</w:t>
      </w:r>
      <w:proofErr w:type="spellEnd"/>
      <w:r w:rsidR="00C121A5">
        <w:rPr>
          <w:rFonts w:asciiTheme="minorHAnsi" w:hAnsiTheme="minorHAnsi" w:cstheme="minorHAnsi"/>
          <w:sz w:val="22"/>
          <w:szCs w:val="22"/>
        </w:rPr>
        <w:t xml:space="preserve"> et al</w:t>
      </w:r>
      <w:r w:rsidR="00B279AB">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{"citationItems":[{"id":"ITEM-1","itemData":{"DOI":"10.1007/s00261-018-1481-8","ISSN":"23660058","PMID":"29470623","abstract":"Purpose: To evaluate a 12-month long-distance prostate MRI quality assurance (QA) program. Methods: The need for IRB approval was waived for this prospective longitudinal QA effort. One academic institution experienced with prostate MRI [~ 1000 examinations/year (Site 2)] partnered with a private institution 240 miles away that was starting a new prostate MRI program (Site 1). Site 1 performed all examinations (N = 249). Four radiologists at Site 1 created finalized reports, then sent images and reports to Site 2 for review on a rolling basis. One radiologist at Site 2 reviewed findings and exam quality and discussed results by phone (~ 2–10 minutes/MRI). In months 1–6 all examinations were reviewed. In months 7–12 only PI-RADS ≤ 2 and ‘difficult’ cases were reviewed. Repeatability was assessed with intra-class correlation (ICC). ‘Clinically significant cancer’ was Gleason ≥ 7. Results: Image quality significantly (p &lt; 0.001) improved after the first three months. Inter-rater agreement also improved in months 3–4 [ICC: 0.849 (95% CI 0.744–0.913)] and 5–6 [ICC: 0.768 (95% CI 0.619–0.864)] compared to months 1–2 [ICC: 0.621 (95% CI 0.436–0.756)]. PI-RADS ≤ 2 examinations were reclassified PI-RADS ≥ 3 in 19% (30/162); of these, 23 had post-MRI histology and 57% (13/23) had clinically significant cancer (5.2% of 249). False-negative examinations [N = 18 (PI-RADS ≤ 2 and Gleason ≥ 7)] were more common at Site 1 during months 1–6 [9% (14/160) vs. 4% (4/89)]. Positive predictive values for PI-RADS ≥ 3 were similar. Conclusion: Remote quality assurance of prostate MRI is feasible and useful, enabling new programs to gain durable skills with minimal risk to patients.","author":[{"dropping-particle":"","family":"Curci","given":"Nicole E.","non-dropping-particle":"","parse-names":false,"suffix":""},{"dropping-particle":"","family":"Gartland","given":"Patrick","non-dropping-particle":"","parse-names":false,"suffix":""},{"dropping-particle":"","family":"Shankar","given":"Prasad R.","non-dropping-particle":"","parse-names":false,"suffix":""},{"dropping-particle":"","family":"Montgomery","given":"Jeffrey S.","non-dropping-particle":"","parse-names":false,"suffix":""},{"dropping-particle":"","family":"Miller","given":"David C.","non-dropping-particle":"","parse-names":false,"suffix":""},{"dropping-particle":"","family":"George","given":"Arvin K.","non-dropping-particle":"","parse-names":false,"suffix":""},{"dropping-particle":"","family":"Davenport","given":"Matthew S.","non-dropping-particle":"","parse-names":false,"suffix":""}],"container-title":"Abdominal Radiology","id":"ITEM-1","issue":"9","issued":{"date-parts":[["2018","9","1"]]},"page":"2505-2512","publisher":"Springer New York LLC","title":"Long-distance longitudinal prostate MRI quality assurance: from startup to 12 months","type":"article-journal","volume":"43"},"uris":["http://www.mendeley.com/documents/?uuid=0d4dd7d5-7f97-3b94-9a55-986197674b9f"]}],"mendeley":{"formattedCitation":"&lt;sup&gt;24&lt;/sup&gt;","plainTextFormattedCitation":"24","previouslyFormattedCitation":"&lt;sup&gt;24&lt;/sup&gt;"},"properties":{"noteIndex":0},"schema":"https://github.com/citation-style-language/schema/raw/master/csl-citation.json"}</w:instrText>
      </w:r>
      <w:r w:rsidR="00B279AB">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24</w:t>
      </w:r>
      <w:r w:rsidR="00B279AB">
        <w:rPr>
          <w:rFonts w:asciiTheme="minorHAnsi" w:hAnsiTheme="minorHAnsi" w:cstheme="minorHAnsi"/>
          <w:sz w:val="22"/>
          <w:szCs w:val="22"/>
        </w:rPr>
        <w:fldChar w:fldCharType="end"/>
      </w:r>
      <w:r w:rsidR="00B279AB">
        <w:rPr>
          <w:rFonts w:asciiTheme="minorHAnsi" w:hAnsiTheme="minorHAnsi" w:cstheme="minorHAnsi"/>
          <w:sz w:val="22"/>
          <w:szCs w:val="22"/>
        </w:rPr>
        <w:t xml:space="preserve"> and Von </w:t>
      </w:r>
      <w:proofErr w:type="spellStart"/>
      <w:r w:rsidR="00B279AB">
        <w:rPr>
          <w:rFonts w:asciiTheme="minorHAnsi" w:hAnsiTheme="minorHAnsi" w:cstheme="minorHAnsi"/>
          <w:sz w:val="22"/>
          <w:szCs w:val="22"/>
        </w:rPr>
        <w:t>Bodman</w:t>
      </w:r>
      <w:proofErr w:type="spellEnd"/>
      <w:r w:rsidR="00B279AB">
        <w:rPr>
          <w:rFonts w:asciiTheme="minorHAnsi" w:hAnsiTheme="minorHAnsi" w:cstheme="minorHAnsi"/>
          <w:sz w:val="22"/>
          <w:szCs w:val="22"/>
        </w:rPr>
        <w:t xml:space="preserve"> et a</w:t>
      </w:r>
      <w:r w:rsidR="00C121A5">
        <w:rPr>
          <w:rFonts w:asciiTheme="minorHAnsi" w:hAnsiTheme="minorHAnsi" w:cstheme="minorHAnsi"/>
          <w:sz w:val="22"/>
          <w:szCs w:val="22"/>
        </w:rPr>
        <w:t>l</w:t>
      </w:r>
      <w:r w:rsidR="00B279AB">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{"citationItems":[{"id":"ITEM-1","itemData":{"DOI":"10.1016/j.juro.2011.10.143","ISSN":"00225347","abstract":"Purpose: We determined whether pelvic soft tissue and bony dimensions on endorectal magnetic resonance imaging influence the recovery of continence after radical prostatectomy, and whether adding significant magnetic resonance imaging variables to a statistical model improves the prediction of continence recovery. Materials and Methods: Between 2001 and 2004, 967 men undergoing radical prostatectomy underwent preoperative magnetic resonance imaging. Soft tissue and bony dimensions were retrospectively measured by 2 raters blinded to clinical and pathological data. Patients who received neoadjuvant therapy, who were preoperatively incontinent or had missing followup for continence were excluded from study, leaving 600 patients eligible for analysis. No pad use defined continent. Logistic regression was used to identify variables associated with continence recovery at 6 and 12 months. We evaluated whether the predictive accuracy of a base model was improved by adding independently significant magnetic resonance imaging variables. Results: Urethral length and urethral volume were significantly associated with the recovery of continence at 6 and 12 months. Larger inner and outer levator distances were significantly associated with a decreased probability of regaining continence at 6 or 12 months, but they did not reach statistical significance for other points. Addition of these 4 magnetic resonance imaging variables to a base model including age, clinical stage, prostate specific antigen and comorbidities marginally improved the discrimination (12-month AUC improved from 0.587 to 0.634). Conclusions: Membranous urethral length, urethral volume, and an anatomically close relation between the levator muscle and membranous urethra on preoperative magnetic resonance imaging are independent predictors of continence recovery after radical prostatectomy. The addition of magnetic resonance imaging variables to a base model improved the predictive accuracy for continence recovery, but the predictive accuracy remains low. © 2012 American Urological Association Education and Research, Inc.","author":[{"dropping-particle":"","family":"Bodman","given":"Christian","non-dropping-particle":"Von","parse-names":false,"suffix":""},{"dropping-particle":"","family":"Matsushita","given":"Kazuhito","non-dropping-particle":"","parse-names":false,"suffix":""},{"dropping-particle":"","family":"Savage","given":"Caroline","non-dropping-particle":"","parse-names":false,"suffix":""},{"dropping-particle":"","family":"Matikainen","given":"Mika P.","non-dropping-particle":"","parse-names":false,"suffix":""},{"dropping-particle":"","family":"Eastham","given":"James A.","non-dropping-particle":"","parse-names":false,"suffix":""},{"dropping-particle":"","family":"Scardino","given":"Peter T.","non-dropping-particle":"","parse-names":false,"suffix":""},{"dropping-particle":"","family":"Rabbani","given":"Farhang","non-dropping-particle":"","parse-names":false,"suffix":""},{"dropping-particle":"","family":"Akin","given":"Oguz","non-dropping-particle":"","parse-names":false,"suffix":""},{"dropping-particle":"","family":"Sandhu","given":"Jaspreet S.","non-dropping-particle":"","parse-names":false,"suffix":""}],"container-title":"Journal of Urology","id":"ITEM-1","issue":"3","issued":{"date-parts":[["2012"]]},"page":"945-950","publisher":"Elsevier Inc.","title":"Recovery of urinary function after radical prostatectomy: Predictors of urinary function on preoperative prostate magnetic resonance imaging","type":"article-journal","volume":"187"},"uris":["http://www.mendeley.com/documents/?uuid=46f83362-fcb1-4c50-9a68-238fd933be45"]}],"mendeley":{"formattedCitation":"&lt;sup&gt;12&lt;/sup&gt;","plainTextFormattedCitation":"12","previouslyFormattedCitation":"&lt;sup&gt;12&lt;/sup&gt;"},"properties":{"noteIndex":0},"schema":"https://github.com/citation-style-language/schema/raw/master/csl-citation.json"}</w:instrText>
      </w:r>
      <w:r w:rsidR="00B279AB">
        <w:rPr>
          <w:rFonts w:asciiTheme="minorHAnsi" w:hAnsiTheme="minorHAnsi" w:cstheme="minorHAnsi"/>
          <w:sz w:val="22"/>
          <w:szCs w:val="22"/>
        </w:rPr>
        <w:fldChar w:fldCharType="separate"/>
      </w:r>
      <w:r w:rsidR="000C0C39" w:rsidRPr="000C0C39">
        <w:rPr>
          <w:rFonts w:asciiTheme="minorHAnsi" w:hAnsiTheme="minorHAnsi" w:cstheme="minorHAnsi"/>
          <w:noProof/>
          <w:sz w:val="22"/>
          <w:szCs w:val="22"/>
          <w:vertAlign w:val="superscript"/>
        </w:rPr>
        <w:t>12</w:t>
      </w:r>
      <w:r w:rsidR="00B279AB">
        <w:rPr>
          <w:rFonts w:asciiTheme="minorHAnsi" w:hAnsiTheme="minorHAnsi" w:cstheme="minorHAnsi"/>
          <w:sz w:val="22"/>
          <w:szCs w:val="22"/>
        </w:rPr>
        <w:fldChar w:fldCharType="end"/>
      </w:r>
      <w:r w:rsidR="00B279AB">
        <w:rPr>
          <w:rFonts w:asciiTheme="minorHAnsi" w:hAnsiTheme="minorHAnsi" w:cstheme="minorHAnsi"/>
          <w:sz w:val="22"/>
          <w:szCs w:val="22"/>
        </w:rPr>
        <w:t xml:space="preserve">. </w:t>
      </w:r>
    </w:p>
    <w:p w14:paraId="10E546A6" w14:textId="069B3A2C" w:rsidR="003C6E9E" w:rsidRDefault="00E02FE5" w:rsidP="003C6E9E">
      <w:pPr>
        <w:spacing w:line="480" w:lineRule="auto"/>
        <w:rPr>
          <w:rFonts w:asciiTheme="minorHAnsi" w:hAnsiTheme="minorHAnsi" w:cstheme="minorHAnsi"/>
          <w:sz w:val="22"/>
          <w:szCs w:val="22"/>
        </w:rPr>
      </w:pPr>
      <w:r>
        <w:rPr>
          <w:rFonts w:asciiTheme="minorHAnsi" w:hAnsiTheme="minorHAnsi" w:cstheme="minorHAnsi"/>
          <w:sz w:val="22"/>
          <w:szCs w:val="22"/>
        </w:rPr>
        <w:tab/>
      </w:r>
      <w:r w:rsidR="00020E0E">
        <w:rPr>
          <w:rFonts w:asciiTheme="minorHAnsi" w:hAnsiTheme="minorHAnsi" w:cstheme="minorHAnsi"/>
          <w:sz w:val="22"/>
          <w:szCs w:val="22"/>
        </w:rPr>
        <w:t xml:space="preserve">Our study has </w:t>
      </w:r>
      <w:r w:rsidR="00E523A9">
        <w:rPr>
          <w:rFonts w:asciiTheme="minorHAnsi" w:hAnsiTheme="minorHAnsi" w:cstheme="minorHAnsi"/>
          <w:sz w:val="22"/>
          <w:szCs w:val="22"/>
        </w:rPr>
        <w:t>several</w:t>
      </w:r>
      <w:r w:rsidR="00020E0E">
        <w:rPr>
          <w:rFonts w:asciiTheme="minorHAnsi" w:hAnsiTheme="minorHAnsi" w:cstheme="minorHAnsi"/>
          <w:sz w:val="22"/>
          <w:szCs w:val="22"/>
        </w:rPr>
        <w:t xml:space="preserve"> limitations. </w:t>
      </w:r>
      <w:r w:rsidR="00CB4DD6">
        <w:rPr>
          <w:rFonts w:asciiTheme="minorHAnsi" w:hAnsiTheme="minorHAnsi" w:cstheme="minorHAnsi"/>
          <w:sz w:val="22"/>
          <w:szCs w:val="22"/>
        </w:rPr>
        <w:t>Although we used prospectively reported measures of longitudinal post-RP urinary continence, the MRI anatomic measures we studied were obtained retrospectively following specific training. It is likely MUL would be less predictive if the measurements were obtained by untrained radiologists</w:t>
      </w:r>
      <w:r w:rsidR="00020E0E">
        <w:rPr>
          <w:rFonts w:asciiTheme="minorHAnsi" w:hAnsiTheme="minorHAnsi" w:cstheme="minorHAnsi"/>
          <w:sz w:val="22"/>
          <w:szCs w:val="22"/>
        </w:rPr>
        <w:t>.</w:t>
      </w:r>
      <w:r w:rsidR="00A575CD">
        <w:rPr>
          <w:rFonts w:asciiTheme="minorHAnsi" w:hAnsiTheme="minorHAnsi" w:cstheme="minorHAnsi"/>
          <w:sz w:val="22"/>
          <w:szCs w:val="22"/>
        </w:rPr>
        <w:t xml:space="preserve"> </w:t>
      </w:r>
      <w:r w:rsidR="003C6E9E">
        <w:rPr>
          <w:rFonts w:asciiTheme="minorHAnsi" w:hAnsiTheme="minorHAnsi" w:cstheme="minorHAnsi"/>
          <w:sz w:val="22"/>
          <w:szCs w:val="22"/>
        </w:rPr>
        <w:t xml:space="preserve">Inclusion of a continence nomogram would have </w:t>
      </w:r>
      <w:r w:rsidR="008741A0">
        <w:rPr>
          <w:rFonts w:asciiTheme="minorHAnsi" w:hAnsiTheme="minorHAnsi" w:cstheme="minorHAnsi"/>
          <w:sz w:val="22"/>
          <w:szCs w:val="22"/>
        </w:rPr>
        <w:t>created more practical clinical utility</w:t>
      </w:r>
      <w:r w:rsidR="003C6E9E">
        <w:rPr>
          <w:rFonts w:asciiTheme="minorHAnsi" w:hAnsiTheme="minorHAnsi" w:cstheme="minorHAnsi"/>
          <w:sz w:val="22"/>
          <w:szCs w:val="22"/>
        </w:rPr>
        <w:t xml:space="preserve">, but we did not have the sample size available to create a validation cohort. </w:t>
      </w:r>
      <w:r w:rsidR="008741A0">
        <w:rPr>
          <w:rFonts w:asciiTheme="minorHAnsi" w:hAnsiTheme="minorHAnsi" w:cstheme="minorHAnsi"/>
          <w:sz w:val="22"/>
          <w:szCs w:val="22"/>
        </w:rPr>
        <w:t xml:space="preserve">A larger sample size at each </w:t>
      </w:r>
      <w:r w:rsidR="00CB4DD6">
        <w:rPr>
          <w:rFonts w:asciiTheme="minorHAnsi" w:hAnsiTheme="minorHAnsi" w:cstheme="minorHAnsi"/>
          <w:sz w:val="22"/>
          <w:szCs w:val="22"/>
        </w:rPr>
        <w:t>time point would have</w:t>
      </w:r>
      <w:r w:rsidR="008741A0">
        <w:rPr>
          <w:rFonts w:asciiTheme="minorHAnsi" w:hAnsiTheme="minorHAnsi" w:cstheme="minorHAnsi"/>
          <w:sz w:val="22"/>
          <w:szCs w:val="22"/>
        </w:rPr>
        <w:t xml:space="preserve"> improved power to detect other significant predictors of incontinence. </w:t>
      </w:r>
      <w:r w:rsidR="00CB4DD6">
        <w:rPr>
          <w:rFonts w:asciiTheme="minorHAnsi" w:hAnsiTheme="minorHAnsi" w:cstheme="minorHAnsi"/>
          <w:sz w:val="22"/>
          <w:szCs w:val="22"/>
        </w:rPr>
        <w:t xml:space="preserve">We defined </w:t>
      </w:r>
      <w:r w:rsidR="00864949">
        <w:rPr>
          <w:rFonts w:asciiTheme="minorHAnsi" w:hAnsiTheme="minorHAnsi" w:cstheme="minorHAnsi"/>
          <w:sz w:val="22"/>
          <w:szCs w:val="22"/>
        </w:rPr>
        <w:t>in</w:t>
      </w:r>
      <w:r w:rsidR="00CB4DD6">
        <w:rPr>
          <w:rFonts w:asciiTheme="minorHAnsi" w:hAnsiTheme="minorHAnsi" w:cstheme="minorHAnsi"/>
          <w:sz w:val="22"/>
          <w:szCs w:val="22"/>
        </w:rPr>
        <w:t>continence</w:t>
      </w:r>
      <w:r w:rsidR="00E86BE7">
        <w:rPr>
          <w:rFonts w:asciiTheme="minorHAnsi" w:hAnsiTheme="minorHAnsi" w:cstheme="minorHAnsi"/>
          <w:sz w:val="22"/>
          <w:szCs w:val="22"/>
        </w:rPr>
        <w:t xml:space="preserve"> as use of</w:t>
      </w:r>
      <w:r w:rsidR="009C634B">
        <w:rPr>
          <w:rFonts w:asciiTheme="minorHAnsi" w:hAnsiTheme="minorHAnsi" w:cstheme="minorHAnsi"/>
          <w:sz w:val="22"/>
          <w:szCs w:val="22"/>
        </w:rPr>
        <w:t xml:space="preserve"> adult diapers or</w:t>
      </w:r>
      <w:r w:rsidR="00E86BE7">
        <w:rPr>
          <w:rFonts w:asciiTheme="minorHAnsi" w:hAnsiTheme="minorHAnsi" w:cstheme="minorHAnsi"/>
          <w:sz w:val="22"/>
          <w:szCs w:val="22"/>
        </w:rPr>
        <w:t xml:space="preserve"> </w:t>
      </w:r>
      <w:r w:rsidR="00864949">
        <w:rPr>
          <w:rFonts w:asciiTheme="minorHAnsi" w:hAnsiTheme="minorHAnsi" w:cstheme="minorHAnsi"/>
          <w:sz w:val="22"/>
          <w:szCs w:val="22"/>
        </w:rPr>
        <w:t>greater than 1</w:t>
      </w:r>
      <w:r w:rsidR="00CB4DD6">
        <w:rPr>
          <w:rFonts w:asciiTheme="minorHAnsi" w:hAnsiTheme="minorHAnsi" w:cstheme="minorHAnsi"/>
          <w:sz w:val="22"/>
          <w:szCs w:val="22"/>
        </w:rPr>
        <w:t xml:space="preserve"> urinary </w:t>
      </w:r>
      <w:r w:rsidR="00E86BE7">
        <w:rPr>
          <w:rFonts w:asciiTheme="minorHAnsi" w:hAnsiTheme="minorHAnsi" w:cstheme="minorHAnsi"/>
          <w:sz w:val="22"/>
          <w:szCs w:val="22"/>
        </w:rPr>
        <w:t>pad</w:t>
      </w:r>
      <w:r w:rsidR="00864949">
        <w:rPr>
          <w:rFonts w:asciiTheme="minorHAnsi" w:hAnsiTheme="minorHAnsi" w:cstheme="minorHAnsi"/>
          <w:sz w:val="22"/>
          <w:szCs w:val="22"/>
        </w:rPr>
        <w:t xml:space="preserve"> </w:t>
      </w:r>
      <w:r w:rsidR="00E86BE7">
        <w:rPr>
          <w:rFonts w:asciiTheme="minorHAnsi" w:hAnsiTheme="minorHAnsi" w:cstheme="minorHAnsi"/>
          <w:sz w:val="22"/>
          <w:szCs w:val="22"/>
        </w:rPr>
        <w:t>per day</w:t>
      </w:r>
      <w:r w:rsidR="00CB4DD6">
        <w:rPr>
          <w:rFonts w:asciiTheme="minorHAnsi" w:hAnsiTheme="minorHAnsi" w:cstheme="minorHAnsi"/>
          <w:sz w:val="22"/>
          <w:szCs w:val="22"/>
        </w:rPr>
        <w:t>, which was more liberal than what has been reported previously</w:t>
      </w:r>
      <w:r w:rsidR="00E86BE7">
        <w:rPr>
          <w:rFonts w:asciiTheme="minorHAnsi" w:hAnsiTheme="minorHAnsi" w:cstheme="minorHAnsi"/>
          <w:sz w:val="22"/>
          <w:szCs w:val="22"/>
        </w:rPr>
        <w:t xml:space="preserve">. However, </w:t>
      </w:r>
      <w:r w:rsidR="00A575CD">
        <w:rPr>
          <w:rFonts w:asciiTheme="minorHAnsi" w:hAnsiTheme="minorHAnsi" w:cstheme="minorHAnsi"/>
          <w:sz w:val="22"/>
          <w:szCs w:val="22"/>
        </w:rPr>
        <w:t>continence data</w:t>
      </w:r>
      <w:r w:rsidR="00E86BE7">
        <w:rPr>
          <w:rFonts w:asciiTheme="minorHAnsi" w:hAnsiTheme="minorHAnsi" w:cstheme="minorHAnsi"/>
          <w:sz w:val="22"/>
          <w:szCs w:val="22"/>
        </w:rPr>
        <w:t xml:space="preserve"> was obtained prospectively using a validated questionnaire</w:t>
      </w:r>
      <w:r w:rsidR="00020E0E">
        <w:rPr>
          <w:rFonts w:asciiTheme="minorHAnsi" w:hAnsiTheme="minorHAnsi" w:cstheme="minorHAnsi"/>
          <w:sz w:val="22"/>
          <w:szCs w:val="22"/>
        </w:rPr>
        <w:t xml:space="preserve"> and was consistent across our patient population</w:t>
      </w:r>
      <w:r w:rsidR="00020E0E">
        <w:rPr>
          <w:rFonts w:asciiTheme="minorHAnsi" w:hAnsiTheme="minorHAnsi" w:cstheme="minorHAnsi"/>
          <w:sz w:val="22"/>
          <w:szCs w:val="22"/>
        </w:rPr>
        <w:fldChar w:fldCharType="begin" w:fldLock="1"/>
      </w:r>
      <w:r w:rsidR="0046542F">
        <w:rPr>
          <w:rFonts w:asciiTheme="minorHAnsi" w:hAnsiTheme="minorHAnsi" w:cstheme="minorHAnsi"/>
          <w:sz w:val="22"/>
          <w:szCs w:val="22"/>
        </w:rPr>
        <w:instrText>ADDIN CSL_CITATION {"citationItems":[{"id":"ITEM-1","itemData":{"DOI":"10.1016/S0090-4295(00)00858-X","ISSN":"00904295","PMID":"11113727","abstract":"Objectives. Health-related quality of life (HRQOL) is an increasingly important endpoint in prostate cancer care. However, pivotal issues that are not fully assessed in existing HRQOL instruments include irritative urinary symptoms, hormonal symptoms, and multi-item scores quantifying bother between urinary, sexual, bowel, and hormonal domains. We sought to develop a novel instrument to facilitate more comprehensive assessment of prostate cancer-related HRQOL. Methods. Instrument development was based on advice from an expert panel and prostate cancer patients, which led to expanding the 20-item University of California-Los Angeles Prostate Cancer Index (UCLA-PCI) to the 50-item Expanded Prostate Index Composite (EPIC). Summary and subscale scores were derived by content and factor analyses. Reliability and validity were assessed by test-retest correlation, Cronbach's alpha coefficient, interscale correlation, and EPIC correlation with other validated instruments. Results. Test-retest reliability and internal consistency were high for EPIC urinary, bowel, sexual, and hormonal domain summary scores (each r ≥0.80 and Cronbach's alpha ≥0.82) and for most domain-specific subscales. Correlations between function and bother subscales within domains were high (r &gt;0.60). Correlations between different primary domains were consistently lower, indicating that these domains assess distinct HRQOL components. EPIC domains had weak to modest correlations with the Medical Outcomes Study 12-item Short-Form Health Survey (SF-12), indicating rationale for their concurrent use. Moderate agreement was observed between EPIC domains relevant to the Functional Assessment of Cancer Therapy Prostate module (FACT-P) and the American Urological Association Symptom Index (AUA-SI), providing criterion validity without excessive overlap. Conclusions. EPIC is a robust prostate cancer HRQOL instrument that complements prior instruments by measuring a broad spectrum of urinary, bowel, sexual, and hormonal symptoms, thereby providing a unique tool for comprehensive assessment of HRQOL issues important in contemporary prostate cancer management. (C) 2000, Elsevier Science Inc.","author":[{"dropping-particle":"","family":"Wei","given":"John T.","non-dropping-particle":"","parse-names":false,"suffix":""},{"dropping-particle":"","family":"Dunn","given":"Rodney L.","non-dropping-particle":"","parse-names":false,"suffix":""},{"dropping-particle":"","family":"Litwin","given":"Mark S.","non-dropping-particle":"","parse-names":false,"suffix":""},{"dropping-particle":"","family":"Sandler","given":"Howard M.","non-dropping-particle":"","parse-names":false,"suffix":""},{"dropping-particle":"","family":"Sanda","given":"Martin G.","non-dropping-particle":"","parse-names":false,"suffix":""}],"container-title":"Urology","id":"ITEM-1","issue":"6","issued":{"date-parts":[["2000"]]},"page":"899-905","publisher":"Urology","title":"Development and validation of the Expanded Prostate Cancer Index Composite (EPIC) for comprehensive assessment of health-related quality of life in men with prostate cancer","type":"article-journal","volume":"56"},"uris":["http://www.mendeley.com/documents/?uuid=b56e84b1-18d4-334f-9075-9edb2b6b6c79"]}],"mendeley":{"formattedCitation":"&lt;sup&gt;30&lt;/sup&gt;","plainTextFormattedCitation":"30","previouslyFormattedCitation":"&lt;sup&gt;30&lt;/sup&gt;"},"properties":{"noteIndex":0},"schema":"https://github.com/citation-style-language/schema/raw/master/csl-citation.json"}</w:instrText>
      </w:r>
      <w:r w:rsidR="00020E0E">
        <w:rPr>
          <w:rFonts w:asciiTheme="minorHAnsi" w:hAnsiTheme="minorHAnsi" w:cstheme="minorHAnsi"/>
          <w:sz w:val="22"/>
          <w:szCs w:val="22"/>
        </w:rPr>
        <w:fldChar w:fldCharType="separate"/>
      </w:r>
      <w:r w:rsidR="0046542F" w:rsidRPr="0046542F">
        <w:rPr>
          <w:rFonts w:asciiTheme="minorHAnsi" w:hAnsiTheme="minorHAnsi" w:cstheme="minorHAnsi"/>
          <w:noProof/>
          <w:sz w:val="22"/>
          <w:szCs w:val="22"/>
          <w:vertAlign w:val="superscript"/>
        </w:rPr>
        <w:t>30</w:t>
      </w:r>
      <w:r w:rsidR="00020E0E">
        <w:rPr>
          <w:rFonts w:asciiTheme="minorHAnsi" w:hAnsiTheme="minorHAnsi" w:cstheme="minorHAnsi"/>
          <w:sz w:val="22"/>
          <w:szCs w:val="22"/>
        </w:rPr>
        <w:fldChar w:fldCharType="end"/>
      </w:r>
      <w:r w:rsidR="00020E0E">
        <w:rPr>
          <w:rFonts w:asciiTheme="minorHAnsi" w:hAnsiTheme="minorHAnsi" w:cstheme="minorHAnsi"/>
          <w:sz w:val="22"/>
          <w:szCs w:val="22"/>
        </w:rPr>
        <w:t xml:space="preserve">. </w:t>
      </w:r>
    </w:p>
    <w:p w14:paraId="6A184877" w14:textId="12C31E9D" w:rsidR="005C7828" w:rsidRDefault="00E02FE5" w:rsidP="00F472B7">
      <w:pPr>
        <w:spacing w:line="480" w:lineRule="auto"/>
        <w:ind w:firstLine="720"/>
        <w:rPr>
          <w:rFonts w:asciiTheme="minorHAnsi" w:hAnsiTheme="minorHAnsi" w:cstheme="minorHAnsi"/>
          <w:sz w:val="22"/>
          <w:szCs w:val="22"/>
        </w:rPr>
      </w:pPr>
      <w:r>
        <w:rPr>
          <w:rFonts w:asciiTheme="minorHAnsi" w:hAnsiTheme="minorHAnsi" w:cstheme="minorHAnsi"/>
          <w:sz w:val="22"/>
          <w:szCs w:val="22"/>
        </w:rPr>
        <w:t xml:space="preserve">In conclusion, </w:t>
      </w:r>
      <w:r w:rsidR="00F472B7">
        <w:rPr>
          <w:rFonts w:asciiTheme="minorHAnsi" w:hAnsiTheme="minorHAnsi" w:cstheme="minorHAnsi"/>
          <w:sz w:val="22"/>
          <w:szCs w:val="22"/>
        </w:rPr>
        <w:t xml:space="preserve">our findings support the use of coronal </w:t>
      </w:r>
      <w:r w:rsidR="000C0C39">
        <w:rPr>
          <w:rFonts w:asciiTheme="minorHAnsi" w:hAnsiTheme="minorHAnsi" w:cstheme="minorHAnsi"/>
          <w:sz w:val="22"/>
          <w:szCs w:val="22"/>
        </w:rPr>
        <w:t>membranous urethra length (</w:t>
      </w:r>
      <w:r w:rsidR="00F472B7">
        <w:rPr>
          <w:rFonts w:asciiTheme="minorHAnsi" w:hAnsiTheme="minorHAnsi" w:cstheme="minorHAnsi"/>
          <w:sz w:val="22"/>
          <w:szCs w:val="22"/>
        </w:rPr>
        <w:t>MUL</w:t>
      </w:r>
      <w:r w:rsidR="000C0C39">
        <w:rPr>
          <w:rFonts w:asciiTheme="minorHAnsi" w:hAnsiTheme="minorHAnsi" w:cstheme="minorHAnsi"/>
          <w:sz w:val="22"/>
          <w:szCs w:val="22"/>
        </w:rPr>
        <w:t>)</w:t>
      </w:r>
      <w:r w:rsidR="00F472B7">
        <w:rPr>
          <w:rFonts w:asciiTheme="minorHAnsi" w:hAnsiTheme="minorHAnsi" w:cstheme="minorHAnsi"/>
          <w:sz w:val="22"/>
          <w:szCs w:val="22"/>
        </w:rPr>
        <w:t xml:space="preserve"> in combination with clinical variables to predict post-</w:t>
      </w:r>
      <w:r w:rsidR="000C0C39">
        <w:rPr>
          <w:rFonts w:asciiTheme="minorHAnsi" w:hAnsiTheme="minorHAnsi" w:cstheme="minorHAnsi"/>
          <w:sz w:val="22"/>
          <w:szCs w:val="22"/>
        </w:rPr>
        <w:t>radical prostatectomy (</w:t>
      </w:r>
      <w:r w:rsidR="00F472B7">
        <w:rPr>
          <w:rFonts w:asciiTheme="minorHAnsi" w:hAnsiTheme="minorHAnsi" w:cstheme="minorHAnsi"/>
          <w:sz w:val="22"/>
          <w:szCs w:val="22"/>
        </w:rPr>
        <w:t>RP</w:t>
      </w:r>
      <w:r w:rsidR="000C0C39">
        <w:rPr>
          <w:rFonts w:asciiTheme="minorHAnsi" w:hAnsiTheme="minorHAnsi" w:cstheme="minorHAnsi"/>
          <w:sz w:val="22"/>
          <w:szCs w:val="22"/>
        </w:rPr>
        <w:t>)</w:t>
      </w:r>
      <w:r w:rsidR="00F472B7">
        <w:rPr>
          <w:rFonts w:asciiTheme="minorHAnsi" w:hAnsiTheme="minorHAnsi" w:cstheme="minorHAnsi"/>
          <w:sz w:val="22"/>
          <w:szCs w:val="22"/>
        </w:rPr>
        <w:t xml:space="preserve"> urinary continence. </w:t>
      </w:r>
      <w:r w:rsidR="00CB4DD6">
        <w:rPr>
          <w:rFonts w:asciiTheme="minorHAnsi" w:hAnsiTheme="minorHAnsi" w:cstheme="minorHAnsi"/>
          <w:sz w:val="22"/>
          <w:szCs w:val="22"/>
        </w:rPr>
        <w:t>Our data</w:t>
      </w:r>
      <w:r w:rsidR="00F472B7">
        <w:rPr>
          <w:rFonts w:asciiTheme="minorHAnsi" w:hAnsiTheme="minorHAnsi" w:cstheme="minorHAnsi"/>
          <w:sz w:val="22"/>
          <w:szCs w:val="22"/>
        </w:rPr>
        <w:t xml:space="preserve"> also support the </w:t>
      </w:r>
      <w:r w:rsidR="00CB4DD6">
        <w:rPr>
          <w:rFonts w:asciiTheme="minorHAnsi" w:hAnsiTheme="minorHAnsi" w:cstheme="minorHAnsi"/>
          <w:sz w:val="22"/>
          <w:szCs w:val="22"/>
        </w:rPr>
        <w:t>need for</w:t>
      </w:r>
      <w:r w:rsidR="00F472B7">
        <w:rPr>
          <w:rFonts w:asciiTheme="minorHAnsi" w:hAnsiTheme="minorHAnsi" w:cstheme="minorHAnsi"/>
          <w:sz w:val="22"/>
          <w:szCs w:val="22"/>
        </w:rPr>
        <w:t xml:space="preserve"> specific training</w:t>
      </w:r>
      <w:r w:rsidR="00CB4DD6">
        <w:rPr>
          <w:rFonts w:asciiTheme="minorHAnsi" w:hAnsiTheme="minorHAnsi" w:cstheme="minorHAnsi"/>
          <w:sz w:val="22"/>
          <w:szCs w:val="22"/>
        </w:rPr>
        <w:t xml:space="preserve"> of radiologists in performing MUL measurements</w:t>
      </w:r>
      <w:r w:rsidR="00F472B7">
        <w:rPr>
          <w:rFonts w:asciiTheme="minorHAnsi" w:hAnsiTheme="minorHAnsi" w:cstheme="minorHAnsi"/>
          <w:sz w:val="22"/>
          <w:szCs w:val="22"/>
        </w:rPr>
        <w:t xml:space="preserve"> to </w:t>
      </w:r>
      <w:r w:rsidR="00F472B7">
        <w:rPr>
          <w:rFonts w:asciiTheme="minorHAnsi" w:hAnsiTheme="minorHAnsi" w:cstheme="minorHAnsi"/>
          <w:sz w:val="22"/>
          <w:szCs w:val="22"/>
        </w:rPr>
        <w:lastRenderedPageBreak/>
        <w:t xml:space="preserve">improve interrater agreement. </w:t>
      </w:r>
      <w:r w:rsidR="00CB4DD6">
        <w:rPr>
          <w:rFonts w:asciiTheme="minorHAnsi" w:hAnsiTheme="minorHAnsi" w:cstheme="minorHAnsi"/>
          <w:sz w:val="22"/>
          <w:szCs w:val="22"/>
        </w:rPr>
        <w:t>D</w:t>
      </w:r>
      <w:r w:rsidR="00F472B7">
        <w:rPr>
          <w:rFonts w:asciiTheme="minorHAnsi" w:hAnsiTheme="minorHAnsi" w:cstheme="minorHAnsi"/>
          <w:sz w:val="22"/>
          <w:szCs w:val="22"/>
        </w:rPr>
        <w:t xml:space="preserve">evelopment of a continence nomogram </w:t>
      </w:r>
      <w:r w:rsidR="00CB4DD6">
        <w:rPr>
          <w:rFonts w:asciiTheme="minorHAnsi" w:hAnsiTheme="minorHAnsi" w:cstheme="minorHAnsi"/>
          <w:sz w:val="22"/>
          <w:szCs w:val="22"/>
        </w:rPr>
        <w:t>in an independent validation cohort that incorporates clinical and MR</w:t>
      </w:r>
      <w:r w:rsidR="000C0C39">
        <w:rPr>
          <w:rFonts w:asciiTheme="minorHAnsi" w:hAnsiTheme="minorHAnsi" w:cstheme="minorHAnsi"/>
          <w:sz w:val="22"/>
          <w:szCs w:val="22"/>
        </w:rPr>
        <w:t>I</w:t>
      </w:r>
      <w:r w:rsidR="00CB4DD6">
        <w:rPr>
          <w:rFonts w:asciiTheme="minorHAnsi" w:hAnsiTheme="minorHAnsi" w:cstheme="minorHAnsi"/>
          <w:sz w:val="22"/>
          <w:szCs w:val="22"/>
        </w:rPr>
        <w:t xml:space="preserve"> measures </w:t>
      </w:r>
      <w:r w:rsidR="00F472B7">
        <w:rPr>
          <w:rFonts w:asciiTheme="minorHAnsi" w:hAnsiTheme="minorHAnsi" w:cstheme="minorHAnsi"/>
          <w:sz w:val="22"/>
          <w:szCs w:val="22"/>
        </w:rPr>
        <w:t xml:space="preserve">could guide patients and </w:t>
      </w:r>
      <w:r w:rsidR="00CB4DD6">
        <w:rPr>
          <w:rFonts w:asciiTheme="minorHAnsi" w:hAnsiTheme="minorHAnsi" w:cstheme="minorHAnsi"/>
          <w:sz w:val="22"/>
          <w:szCs w:val="22"/>
        </w:rPr>
        <w:t xml:space="preserve">providers </w:t>
      </w:r>
      <w:r w:rsidR="00BA18CB">
        <w:rPr>
          <w:rFonts w:asciiTheme="minorHAnsi" w:hAnsiTheme="minorHAnsi" w:cstheme="minorHAnsi"/>
          <w:sz w:val="22"/>
          <w:szCs w:val="22"/>
        </w:rPr>
        <w:t>considering prostate cancer treatment</w:t>
      </w:r>
      <w:r w:rsidR="0028663A">
        <w:rPr>
          <w:rFonts w:asciiTheme="minorHAnsi" w:hAnsiTheme="minorHAnsi" w:cstheme="minorHAnsi"/>
          <w:sz w:val="22"/>
          <w:szCs w:val="22"/>
        </w:rPr>
        <w:t xml:space="preserve"> options</w:t>
      </w:r>
      <w:r w:rsidR="00BA18CB">
        <w:rPr>
          <w:rFonts w:asciiTheme="minorHAnsi" w:hAnsiTheme="minorHAnsi" w:cstheme="minorHAnsi"/>
          <w:sz w:val="22"/>
          <w:szCs w:val="22"/>
        </w:rPr>
        <w:t xml:space="preserve">. </w:t>
      </w:r>
      <w:r w:rsidR="00F472B7">
        <w:rPr>
          <w:rFonts w:asciiTheme="minorHAnsi" w:hAnsiTheme="minorHAnsi" w:cstheme="minorHAnsi"/>
          <w:sz w:val="22"/>
          <w:szCs w:val="22"/>
        </w:rPr>
        <w:t xml:space="preserve"> </w:t>
      </w:r>
    </w:p>
    <w:p w14:paraId="37AA4061" w14:textId="0740DAC7" w:rsidR="00B536F4" w:rsidRDefault="00B536F4">
      <w:pPr>
        <w:rPr>
          <w:rFonts w:asciiTheme="minorHAnsi" w:hAnsiTheme="minorHAnsi" w:cstheme="minorHAnsi"/>
          <w:sz w:val="22"/>
          <w:szCs w:val="22"/>
        </w:rPr>
      </w:pPr>
    </w:p>
    <w:p w14:paraId="5E15A76F" w14:textId="7FC52E6D" w:rsidR="00DC48C6" w:rsidRDefault="00DC48C6">
      <w:pPr>
        <w:rPr>
          <w:rFonts w:asciiTheme="minorHAnsi" w:hAnsiTheme="minorHAnsi" w:cstheme="minorHAnsi"/>
          <w:sz w:val="22"/>
          <w:szCs w:val="22"/>
        </w:rPr>
      </w:pPr>
    </w:p>
    <w:p w14:paraId="4A931B62" w14:textId="088E6E53" w:rsidR="00DC48C6" w:rsidRDefault="00DC48C6">
      <w:pPr>
        <w:rPr>
          <w:rFonts w:asciiTheme="minorHAnsi" w:hAnsiTheme="minorHAnsi" w:cstheme="minorHAnsi"/>
          <w:sz w:val="22"/>
          <w:szCs w:val="22"/>
        </w:rPr>
      </w:pPr>
    </w:p>
    <w:p w14:paraId="5B2B12F5" w14:textId="1E8332AC" w:rsidR="00DC48C6" w:rsidRDefault="00DC48C6">
      <w:pPr>
        <w:rPr>
          <w:rFonts w:asciiTheme="minorHAnsi" w:hAnsiTheme="minorHAnsi" w:cstheme="minorHAnsi"/>
          <w:sz w:val="22"/>
          <w:szCs w:val="22"/>
        </w:rPr>
      </w:pPr>
    </w:p>
    <w:p w14:paraId="2A3BB904" w14:textId="5035A1B3" w:rsidR="00DC48C6" w:rsidRDefault="00DC48C6">
      <w:pPr>
        <w:rPr>
          <w:rFonts w:asciiTheme="minorHAnsi" w:hAnsiTheme="minorHAnsi" w:cstheme="minorHAnsi"/>
          <w:sz w:val="22"/>
          <w:szCs w:val="22"/>
        </w:rPr>
      </w:pPr>
    </w:p>
    <w:p w14:paraId="3489224D" w14:textId="0BF5A863" w:rsidR="00DC48C6" w:rsidRDefault="00DC48C6">
      <w:pPr>
        <w:rPr>
          <w:rFonts w:asciiTheme="minorHAnsi" w:hAnsiTheme="minorHAnsi" w:cstheme="minorHAnsi"/>
          <w:sz w:val="22"/>
          <w:szCs w:val="22"/>
        </w:rPr>
      </w:pPr>
    </w:p>
    <w:p w14:paraId="6A498B38" w14:textId="226ED875" w:rsidR="00DC48C6" w:rsidRDefault="00DC48C6">
      <w:pPr>
        <w:rPr>
          <w:rFonts w:asciiTheme="minorHAnsi" w:hAnsiTheme="minorHAnsi" w:cstheme="minorHAnsi"/>
          <w:sz w:val="22"/>
          <w:szCs w:val="22"/>
        </w:rPr>
      </w:pPr>
    </w:p>
    <w:p w14:paraId="1172D6AD" w14:textId="7DA259F9" w:rsidR="00DC48C6" w:rsidRDefault="00DC48C6">
      <w:pPr>
        <w:rPr>
          <w:rFonts w:asciiTheme="minorHAnsi" w:hAnsiTheme="minorHAnsi" w:cstheme="minorHAnsi"/>
          <w:sz w:val="22"/>
          <w:szCs w:val="22"/>
        </w:rPr>
      </w:pPr>
    </w:p>
    <w:p w14:paraId="5862AF53" w14:textId="5CECE562" w:rsidR="00DC48C6" w:rsidRDefault="00DC48C6">
      <w:pPr>
        <w:rPr>
          <w:rFonts w:asciiTheme="minorHAnsi" w:hAnsiTheme="minorHAnsi" w:cstheme="minorHAnsi"/>
          <w:sz w:val="22"/>
          <w:szCs w:val="22"/>
        </w:rPr>
      </w:pPr>
    </w:p>
    <w:p w14:paraId="0728BF77" w14:textId="4145EA0F" w:rsidR="00DC48C6" w:rsidRDefault="00DC48C6">
      <w:pPr>
        <w:rPr>
          <w:rFonts w:asciiTheme="minorHAnsi" w:hAnsiTheme="minorHAnsi" w:cstheme="minorHAnsi"/>
          <w:sz w:val="22"/>
          <w:szCs w:val="22"/>
        </w:rPr>
      </w:pPr>
    </w:p>
    <w:p w14:paraId="32311346" w14:textId="1FBD2565" w:rsidR="00DC48C6" w:rsidRDefault="00DC48C6">
      <w:pPr>
        <w:rPr>
          <w:rFonts w:asciiTheme="minorHAnsi" w:hAnsiTheme="minorHAnsi" w:cstheme="minorHAnsi"/>
          <w:sz w:val="22"/>
          <w:szCs w:val="22"/>
        </w:rPr>
      </w:pPr>
    </w:p>
    <w:p w14:paraId="365059AD" w14:textId="438D0E59" w:rsidR="00DC48C6" w:rsidRDefault="00DC48C6">
      <w:pPr>
        <w:rPr>
          <w:rFonts w:asciiTheme="minorHAnsi" w:hAnsiTheme="minorHAnsi" w:cstheme="minorHAnsi"/>
          <w:sz w:val="22"/>
          <w:szCs w:val="22"/>
        </w:rPr>
      </w:pPr>
    </w:p>
    <w:p w14:paraId="156C57A2" w14:textId="786A9985" w:rsidR="00DC48C6" w:rsidRDefault="00DC48C6">
      <w:pPr>
        <w:rPr>
          <w:rFonts w:asciiTheme="minorHAnsi" w:hAnsiTheme="minorHAnsi" w:cstheme="minorHAnsi"/>
          <w:sz w:val="22"/>
          <w:szCs w:val="22"/>
        </w:rPr>
      </w:pPr>
    </w:p>
    <w:p w14:paraId="2C9081F2" w14:textId="3ED5F9DB" w:rsidR="00DC48C6" w:rsidRDefault="00DC48C6">
      <w:pPr>
        <w:rPr>
          <w:rFonts w:asciiTheme="minorHAnsi" w:hAnsiTheme="minorHAnsi" w:cstheme="minorHAnsi"/>
          <w:sz w:val="22"/>
          <w:szCs w:val="22"/>
        </w:rPr>
      </w:pPr>
    </w:p>
    <w:p w14:paraId="31DF1157" w14:textId="55A8F4B8" w:rsidR="00DC48C6" w:rsidRDefault="00DC48C6">
      <w:pPr>
        <w:rPr>
          <w:rFonts w:asciiTheme="minorHAnsi" w:hAnsiTheme="minorHAnsi" w:cstheme="minorHAnsi"/>
          <w:sz w:val="22"/>
          <w:szCs w:val="22"/>
        </w:rPr>
      </w:pPr>
    </w:p>
    <w:p w14:paraId="4DC126F0" w14:textId="05FF94D7" w:rsidR="00DC48C6" w:rsidRDefault="00DC48C6">
      <w:pPr>
        <w:rPr>
          <w:rFonts w:asciiTheme="minorHAnsi" w:hAnsiTheme="minorHAnsi" w:cstheme="minorHAnsi"/>
          <w:sz w:val="22"/>
          <w:szCs w:val="22"/>
        </w:rPr>
      </w:pPr>
    </w:p>
    <w:p w14:paraId="38FDB2CE" w14:textId="77C1533D" w:rsidR="00DC48C6" w:rsidRDefault="00DC48C6">
      <w:pPr>
        <w:rPr>
          <w:rFonts w:asciiTheme="minorHAnsi" w:hAnsiTheme="minorHAnsi" w:cstheme="minorHAnsi"/>
          <w:sz w:val="22"/>
          <w:szCs w:val="22"/>
        </w:rPr>
      </w:pPr>
    </w:p>
    <w:p w14:paraId="4EA33329" w14:textId="65EE8A3A" w:rsidR="00DC48C6" w:rsidRDefault="00DC48C6">
      <w:pPr>
        <w:rPr>
          <w:rFonts w:asciiTheme="minorHAnsi" w:hAnsiTheme="minorHAnsi" w:cstheme="minorHAnsi"/>
          <w:sz w:val="22"/>
          <w:szCs w:val="22"/>
        </w:rPr>
      </w:pPr>
    </w:p>
    <w:p w14:paraId="0B39C736" w14:textId="429C2AEC" w:rsidR="00DC48C6" w:rsidRDefault="00DC48C6">
      <w:pPr>
        <w:rPr>
          <w:rFonts w:asciiTheme="minorHAnsi" w:hAnsiTheme="minorHAnsi" w:cstheme="minorHAnsi"/>
          <w:sz w:val="22"/>
          <w:szCs w:val="22"/>
        </w:rPr>
      </w:pPr>
    </w:p>
    <w:p w14:paraId="7C27846F" w14:textId="13109B53" w:rsidR="00DC48C6" w:rsidRDefault="00DC48C6">
      <w:pPr>
        <w:rPr>
          <w:rFonts w:asciiTheme="minorHAnsi" w:hAnsiTheme="minorHAnsi" w:cstheme="minorHAnsi"/>
          <w:sz w:val="22"/>
          <w:szCs w:val="22"/>
        </w:rPr>
      </w:pPr>
    </w:p>
    <w:p w14:paraId="7F238282" w14:textId="1052C0BF" w:rsidR="00DC48C6" w:rsidRDefault="00DC48C6">
      <w:pPr>
        <w:rPr>
          <w:rFonts w:asciiTheme="minorHAnsi" w:hAnsiTheme="minorHAnsi" w:cstheme="minorHAnsi"/>
          <w:sz w:val="22"/>
          <w:szCs w:val="22"/>
        </w:rPr>
      </w:pPr>
    </w:p>
    <w:p w14:paraId="51B91B41" w14:textId="45576B79" w:rsidR="00DC48C6" w:rsidRDefault="00DC48C6">
      <w:pPr>
        <w:rPr>
          <w:rFonts w:asciiTheme="minorHAnsi" w:hAnsiTheme="minorHAnsi" w:cstheme="minorHAnsi"/>
          <w:sz w:val="22"/>
          <w:szCs w:val="22"/>
        </w:rPr>
      </w:pPr>
    </w:p>
    <w:p w14:paraId="45C2D926" w14:textId="5F1158A0" w:rsidR="00DC48C6" w:rsidRDefault="00DC48C6">
      <w:pPr>
        <w:rPr>
          <w:rFonts w:asciiTheme="minorHAnsi" w:hAnsiTheme="minorHAnsi" w:cstheme="minorHAnsi"/>
          <w:sz w:val="22"/>
          <w:szCs w:val="22"/>
        </w:rPr>
      </w:pPr>
    </w:p>
    <w:p w14:paraId="3781D974" w14:textId="0B7FFD21" w:rsidR="00DC48C6" w:rsidRDefault="00DC48C6">
      <w:pPr>
        <w:rPr>
          <w:rFonts w:asciiTheme="minorHAnsi" w:hAnsiTheme="minorHAnsi" w:cstheme="minorHAnsi"/>
          <w:sz w:val="22"/>
          <w:szCs w:val="22"/>
        </w:rPr>
      </w:pPr>
    </w:p>
    <w:p w14:paraId="481E8120" w14:textId="554C93EC" w:rsidR="00DC48C6" w:rsidRDefault="00DC48C6">
      <w:pPr>
        <w:rPr>
          <w:rFonts w:asciiTheme="minorHAnsi" w:hAnsiTheme="minorHAnsi" w:cstheme="minorHAnsi"/>
          <w:sz w:val="22"/>
          <w:szCs w:val="22"/>
        </w:rPr>
      </w:pPr>
    </w:p>
    <w:p w14:paraId="75D3A2C4" w14:textId="531837D5" w:rsidR="00DC48C6" w:rsidRDefault="00DC48C6">
      <w:pPr>
        <w:rPr>
          <w:rFonts w:asciiTheme="minorHAnsi" w:hAnsiTheme="minorHAnsi" w:cstheme="minorHAnsi"/>
          <w:sz w:val="22"/>
          <w:szCs w:val="22"/>
        </w:rPr>
      </w:pPr>
    </w:p>
    <w:p w14:paraId="6322BF51" w14:textId="47127791" w:rsidR="00DC48C6" w:rsidRDefault="00DC48C6">
      <w:pPr>
        <w:rPr>
          <w:rFonts w:asciiTheme="minorHAnsi" w:hAnsiTheme="minorHAnsi" w:cstheme="minorHAnsi"/>
          <w:sz w:val="22"/>
          <w:szCs w:val="22"/>
        </w:rPr>
      </w:pPr>
    </w:p>
    <w:p w14:paraId="2A81DA28" w14:textId="529AFA43" w:rsidR="00DC48C6" w:rsidRDefault="00DC48C6">
      <w:pPr>
        <w:rPr>
          <w:rFonts w:asciiTheme="minorHAnsi" w:hAnsiTheme="minorHAnsi" w:cstheme="minorHAnsi"/>
          <w:sz w:val="22"/>
          <w:szCs w:val="22"/>
        </w:rPr>
      </w:pPr>
    </w:p>
    <w:p w14:paraId="1E7FABFE" w14:textId="22F5E5F9" w:rsidR="00DC48C6" w:rsidRDefault="00DC48C6">
      <w:pPr>
        <w:rPr>
          <w:rFonts w:asciiTheme="minorHAnsi" w:hAnsiTheme="minorHAnsi" w:cstheme="minorHAnsi"/>
          <w:sz w:val="22"/>
          <w:szCs w:val="22"/>
        </w:rPr>
      </w:pPr>
    </w:p>
    <w:p w14:paraId="4E844BDC" w14:textId="445F1EEC" w:rsidR="00DC48C6" w:rsidRDefault="00DC48C6">
      <w:pPr>
        <w:rPr>
          <w:rFonts w:asciiTheme="minorHAnsi" w:hAnsiTheme="minorHAnsi" w:cstheme="minorHAnsi"/>
          <w:sz w:val="22"/>
          <w:szCs w:val="22"/>
        </w:rPr>
      </w:pPr>
    </w:p>
    <w:p w14:paraId="10322213" w14:textId="6E51DA50" w:rsidR="00DC48C6" w:rsidRDefault="00DC48C6">
      <w:pPr>
        <w:rPr>
          <w:rFonts w:asciiTheme="minorHAnsi" w:hAnsiTheme="minorHAnsi" w:cstheme="minorHAnsi"/>
          <w:sz w:val="22"/>
          <w:szCs w:val="22"/>
        </w:rPr>
      </w:pPr>
    </w:p>
    <w:p w14:paraId="55311DBB" w14:textId="584E73B6" w:rsidR="00DC48C6" w:rsidRDefault="00DC48C6">
      <w:pPr>
        <w:rPr>
          <w:rFonts w:asciiTheme="minorHAnsi" w:hAnsiTheme="minorHAnsi" w:cstheme="minorHAnsi"/>
          <w:sz w:val="22"/>
          <w:szCs w:val="22"/>
        </w:rPr>
      </w:pPr>
    </w:p>
    <w:p w14:paraId="54B9F2B8" w14:textId="7CA1625E" w:rsidR="00DC48C6" w:rsidRDefault="00DC48C6">
      <w:pPr>
        <w:rPr>
          <w:rFonts w:asciiTheme="minorHAnsi" w:hAnsiTheme="minorHAnsi" w:cstheme="minorHAnsi"/>
          <w:sz w:val="22"/>
          <w:szCs w:val="22"/>
        </w:rPr>
      </w:pPr>
    </w:p>
    <w:p w14:paraId="5647B512" w14:textId="17FA565F" w:rsidR="00DC48C6" w:rsidRDefault="00DC48C6">
      <w:pPr>
        <w:rPr>
          <w:rFonts w:asciiTheme="minorHAnsi" w:hAnsiTheme="minorHAnsi" w:cstheme="minorHAnsi"/>
          <w:sz w:val="22"/>
          <w:szCs w:val="22"/>
        </w:rPr>
      </w:pPr>
    </w:p>
    <w:p w14:paraId="79D04463" w14:textId="45DC8DEA" w:rsidR="00DC48C6" w:rsidRDefault="00DC48C6">
      <w:pPr>
        <w:rPr>
          <w:rFonts w:asciiTheme="minorHAnsi" w:hAnsiTheme="minorHAnsi" w:cstheme="minorHAnsi"/>
          <w:sz w:val="22"/>
          <w:szCs w:val="22"/>
        </w:rPr>
      </w:pPr>
    </w:p>
    <w:p w14:paraId="393D1EE7" w14:textId="78D75609" w:rsidR="00DC48C6" w:rsidRDefault="00DC48C6">
      <w:pPr>
        <w:rPr>
          <w:rFonts w:asciiTheme="minorHAnsi" w:hAnsiTheme="minorHAnsi" w:cstheme="minorHAnsi"/>
          <w:sz w:val="22"/>
          <w:szCs w:val="22"/>
        </w:rPr>
      </w:pPr>
    </w:p>
    <w:p w14:paraId="780C9A77" w14:textId="168EC989" w:rsidR="00DC48C6" w:rsidRDefault="00DC48C6">
      <w:pPr>
        <w:rPr>
          <w:rFonts w:asciiTheme="minorHAnsi" w:hAnsiTheme="minorHAnsi" w:cstheme="minorHAnsi"/>
          <w:sz w:val="22"/>
          <w:szCs w:val="22"/>
        </w:rPr>
      </w:pPr>
    </w:p>
    <w:p w14:paraId="7ED63B72" w14:textId="7BB38AD5" w:rsidR="00DC48C6" w:rsidRDefault="00DC48C6">
      <w:pPr>
        <w:rPr>
          <w:rFonts w:asciiTheme="minorHAnsi" w:hAnsiTheme="minorHAnsi" w:cstheme="minorHAnsi"/>
          <w:sz w:val="22"/>
          <w:szCs w:val="22"/>
        </w:rPr>
      </w:pPr>
    </w:p>
    <w:p w14:paraId="31E2087D" w14:textId="476C67AB" w:rsidR="00DC48C6" w:rsidRDefault="00DC48C6">
      <w:pPr>
        <w:rPr>
          <w:rFonts w:asciiTheme="minorHAnsi" w:hAnsiTheme="minorHAnsi" w:cstheme="minorHAnsi"/>
          <w:sz w:val="22"/>
          <w:szCs w:val="22"/>
        </w:rPr>
      </w:pPr>
    </w:p>
    <w:p w14:paraId="24D1F72B" w14:textId="2604039D" w:rsidR="00DC48C6" w:rsidRDefault="00DC48C6">
      <w:pPr>
        <w:rPr>
          <w:rFonts w:asciiTheme="minorHAnsi" w:hAnsiTheme="minorHAnsi" w:cstheme="minorHAnsi"/>
          <w:sz w:val="22"/>
          <w:szCs w:val="22"/>
        </w:rPr>
      </w:pPr>
    </w:p>
    <w:p w14:paraId="030B7375" w14:textId="695905AD" w:rsidR="00DC48C6" w:rsidRDefault="00DC48C6">
      <w:pPr>
        <w:rPr>
          <w:rFonts w:asciiTheme="minorHAnsi" w:hAnsiTheme="minorHAnsi" w:cstheme="minorHAnsi"/>
          <w:sz w:val="22"/>
          <w:szCs w:val="22"/>
        </w:rPr>
      </w:pPr>
    </w:p>
    <w:p w14:paraId="173BA434" w14:textId="66172E03" w:rsidR="00DC48C6" w:rsidRDefault="00DC48C6">
      <w:pPr>
        <w:rPr>
          <w:rFonts w:asciiTheme="minorHAnsi" w:hAnsiTheme="minorHAnsi" w:cstheme="minorHAnsi"/>
          <w:sz w:val="22"/>
          <w:szCs w:val="22"/>
        </w:rPr>
      </w:pPr>
    </w:p>
    <w:p w14:paraId="224D221A" w14:textId="77777777" w:rsidR="00DC48C6" w:rsidRDefault="00DC48C6">
      <w:pPr>
        <w:rPr>
          <w:rFonts w:asciiTheme="minorHAnsi" w:hAnsiTheme="minorHAnsi" w:cstheme="minorHAnsi"/>
          <w:sz w:val="22"/>
          <w:szCs w:val="22"/>
        </w:rPr>
      </w:pPr>
    </w:p>
    <w:p w14:paraId="3DB442B2" w14:textId="77777777" w:rsidR="00C738B9" w:rsidRDefault="00C738B9">
      <w:pPr>
        <w:rPr>
          <w:rFonts w:asciiTheme="minorHAnsi" w:hAnsiTheme="minorHAnsi" w:cstheme="minorHAnsi"/>
          <w:b/>
          <w:sz w:val="22"/>
          <w:szCs w:val="22"/>
          <w:u w:val="single"/>
        </w:rPr>
      </w:pPr>
    </w:p>
    <w:p w14:paraId="7C9FE360" w14:textId="743F3391" w:rsidR="00020E0E" w:rsidRPr="004E6745" w:rsidRDefault="004E6745" w:rsidP="00295F5C">
      <w:pPr>
        <w:spacing w:line="480" w:lineRule="auto"/>
        <w:rPr>
          <w:rFonts w:asciiTheme="minorHAnsi" w:hAnsiTheme="minorHAnsi" w:cstheme="minorHAnsi"/>
          <w:b/>
          <w:sz w:val="22"/>
          <w:szCs w:val="22"/>
          <w:u w:val="single"/>
        </w:rPr>
      </w:pPr>
      <w:r w:rsidRPr="004E6745">
        <w:rPr>
          <w:rFonts w:asciiTheme="minorHAnsi" w:hAnsiTheme="minorHAnsi" w:cstheme="minorHAnsi"/>
          <w:b/>
          <w:sz w:val="22"/>
          <w:szCs w:val="22"/>
          <w:u w:val="single"/>
        </w:rPr>
        <w:t xml:space="preserve">References </w:t>
      </w:r>
    </w:p>
    <w:p w14:paraId="4E30902C" w14:textId="6B66B805" w:rsidR="0046542F" w:rsidRPr="0046542F" w:rsidRDefault="004E6745" w:rsidP="0046542F">
      <w:pPr>
        <w:widowControl w:val="0"/>
        <w:autoSpaceDE w:val="0"/>
        <w:autoSpaceDN w:val="0"/>
        <w:adjustRightInd w:val="0"/>
        <w:ind w:left="640" w:hanging="640"/>
        <w:rPr>
          <w:rFonts w:ascii="Calibri" w:hAnsi="Calibri"/>
          <w:noProof/>
          <w:sz w:val="22"/>
        </w:rPr>
      </w:pPr>
      <w:r>
        <w:rPr>
          <w:rFonts w:asciiTheme="minorHAnsi" w:hAnsiTheme="minorHAnsi" w:cstheme="minorHAnsi"/>
          <w:sz w:val="22"/>
          <w:szCs w:val="22"/>
        </w:rPr>
        <w:fldChar w:fldCharType="begin" w:fldLock="1"/>
      </w:r>
      <w:r>
        <w:rPr>
          <w:rFonts w:asciiTheme="minorHAnsi" w:hAnsiTheme="minorHAnsi" w:cstheme="minorHAnsi"/>
          <w:sz w:val="22"/>
          <w:szCs w:val="22"/>
        </w:rPr>
        <w:instrText xml:space="preserve">ADDIN Mendeley Bibliography CSL_BIBLIOGRAPHY </w:instrText>
      </w:r>
      <w:r>
        <w:rPr>
          <w:rFonts w:asciiTheme="minorHAnsi" w:hAnsiTheme="minorHAnsi" w:cstheme="minorHAnsi"/>
          <w:sz w:val="22"/>
          <w:szCs w:val="22"/>
        </w:rPr>
        <w:fldChar w:fldCharType="separate"/>
      </w:r>
      <w:r w:rsidR="0046542F" w:rsidRPr="0046542F">
        <w:rPr>
          <w:rFonts w:ascii="Calibri" w:hAnsi="Calibri"/>
          <w:noProof/>
          <w:sz w:val="22"/>
        </w:rPr>
        <w:t xml:space="preserve">1. </w:t>
      </w:r>
      <w:r w:rsidR="0046542F" w:rsidRPr="0046542F">
        <w:rPr>
          <w:rFonts w:ascii="Calibri" w:hAnsi="Calibri"/>
          <w:noProof/>
          <w:sz w:val="22"/>
        </w:rPr>
        <w:tab/>
        <w:t xml:space="preserve">Bernardes MFVG, Chagas S de C, Izidoro LC de R, Veloso DFM, Chianca TCM, da Mata LRFP. Impact of urinary incontinence on the quality of life of individuals undergoing radical prostatectomy. </w:t>
      </w:r>
      <w:r w:rsidR="0046542F" w:rsidRPr="0046542F">
        <w:rPr>
          <w:rFonts w:ascii="Calibri" w:hAnsi="Calibri"/>
          <w:i/>
          <w:iCs/>
          <w:noProof/>
          <w:sz w:val="22"/>
        </w:rPr>
        <w:t>Rev Lat Am Enfermagem</w:t>
      </w:r>
      <w:r w:rsidR="0046542F" w:rsidRPr="0046542F">
        <w:rPr>
          <w:rFonts w:ascii="Calibri" w:hAnsi="Calibri"/>
          <w:noProof/>
          <w:sz w:val="22"/>
        </w:rPr>
        <w:t>. 2019;27. doi:10.1590/1518-8345.2757.3131</w:t>
      </w:r>
    </w:p>
    <w:p w14:paraId="3817D1A2"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 </w:t>
      </w:r>
      <w:r w:rsidRPr="0046542F">
        <w:rPr>
          <w:rFonts w:ascii="Calibri" w:hAnsi="Calibri"/>
          <w:noProof/>
          <w:sz w:val="22"/>
        </w:rPr>
        <w:tab/>
        <w:t xml:space="preserve">Ficarra V, Novara G, Rosen RC, et al. Systematic review and meta-analysis of studies reporting urinary continence recovery after robot-assisted radical prostatectomy. </w:t>
      </w:r>
      <w:r w:rsidRPr="0046542F">
        <w:rPr>
          <w:rFonts w:ascii="Calibri" w:hAnsi="Calibri"/>
          <w:i/>
          <w:iCs/>
          <w:noProof/>
          <w:sz w:val="22"/>
        </w:rPr>
        <w:t>Eur Urol</w:t>
      </w:r>
      <w:r w:rsidRPr="0046542F">
        <w:rPr>
          <w:rFonts w:ascii="Calibri" w:hAnsi="Calibri"/>
          <w:noProof/>
          <w:sz w:val="22"/>
        </w:rPr>
        <w:t>. 2012;62(3):405-417. doi:10.1016/j.eururo.2012.05.045</w:t>
      </w:r>
    </w:p>
    <w:p w14:paraId="04D2120A"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 </w:t>
      </w:r>
      <w:r w:rsidRPr="0046542F">
        <w:rPr>
          <w:rFonts w:ascii="Calibri" w:hAnsi="Calibri"/>
          <w:noProof/>
          <w:sz w:val="22"/>
        </w:rPr>
        <w:tab/>
        <w:t xml:space="preserve">Coelho RF, Rocco B, Patel MB, et al. Retropubic, laparoscopic, and robot-assisted radical prostatectomy: A critical review of outcomes reported by high-volume centers. </w:t>
      </w:r>
      <w:r w:rsidRPr="0046542F">
        <w:rPr>
          <w:rFonts w:ascii="Calibri" w:hAnsi="Calibri"/>
          <w:i/>
          <w:iCs/>
          <w:noProof/>
          <w:sz w:val="22"/>
        </w:rPr>
        <w:t>J Endourol</w:t>
      </w:r>
      <w:r w:rsidRPr="0046542F">
        <w:rPr>
          <w:rFonts w:ascii="Calibri" w:hAnsi="Calibri"/>
          <w:noProof/>
          <w:sz w:val="22"/>
        </w:rPr>
        <w:t>. 2010;24(12):2003-2015. doi:10.1089/end.2010.0295</w:t>
      </w:r>
    </w:p>
    <w:p w14:paraId="0A0AC97A"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4. </w:t>
      </w:r>
      <w:r w:rsidRPr="0046542F">
        <w:rPr>
          <w:rFonts w:ascii="Calibri" w:hAnsi="Calibri"/>
          <w:noProof/>
          <w:sz w:val="22"/>
        </w:rPr>
        <w:tab/>
        <w:t xml:space="preserve">Penson DF, McLerran D, Feng Z, et al. 5-Year Urinary and Sexual Outcomes After Radical Prostatectomy: Results From the Prostate Cancer Outcomes Study. </w:t>
      </w:r>
      <w:r w:rsidRPr="0046542F">
        <w:rPr>
          <w:rFonts w:ascii="Calibri" w:hAnsi="Calibri"/>
          <w:i/>
          <w:iCs/>
          <w:noProof/>
          <w:sz w:val="22"/>
        </w:rPr>
        <w:t>J Urol</w:t>
      </w:r>
      <w:r w:rsidRPr="0046542F">
        <w:rPr>
          <w:rFonts w:ascii="Calibri" w:hAnsi="Calibri"/>
          <w:noProof/>
          <w:sz w:val="22"/>
        </w:rPr>
        <w:t>. 2008;179(5 SUPPL.). doi:10.1016/j.juro.2008.03.136</w:t>
      </w:r>
    </w:p>
    <w:p w14:paraId="5ADFF781"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5. </w:t>
      </w:r>
      <w:r w:rsidRPr="0046542F">
        <w:rPr>
          <w:rFonts w:ascii="Calibri" w:hAnsi="Calibri"/>
          <w:noProof/>
          <w:sz w:val="22"/>
        </w:rPr>
        <w:tab/>
        <w:t>Konety BR, Sadetsky N, Carroll PR. Recovery of Urinary Continence Following Radical Prostatectomy: The Impact of Prostate Volume-Analysis of Data From the CaPSURE</w:t>
      </w:r>
      <w:r w:rsidRPr="0046542F">
        <w:rPr>
          <w:rFonts w:ascii="Calibri" w:hAnsi="Calibri"/>
          <w:noProof/>
          <w:sz w:val="22"/>
          <w:vertAlign w:val="superscript"/>
        </w:rPr>
        <w:t>TM</w:t>
      </w:r>
      <w:r w:rsidRPr="0046542F">
        <w:rPr>
          <w:rFonts w:ascii="Calibri" w:hAnsi="Calibri"/>
          <w:noProof/>
          <w:sz w:val="22"/>
        </w:rPr>
        <w:t xml:space="preserve"> Database. </w:t>
      </w:r>
      <w:r w:rsidRPr="0046542F">
        <w:rPr>
          <w:rFonts w:ascii="Calibri" w:hAnsi="Calibri"/>
          <w:i/>
          <w:iCs/>
          <w:noProof/>
          <w:sz w:val="22"/>
        </w:rPr>
        <w:t>J Urol</w:t>
      </w:r>
      <w:r w:rsidRPr="0046542F">
        <w:rPr>
          <w:rFonts w:ascii="Calibri" w:hAnsi="Calibri"/>
          <w:noProof/>
          <w:sz w:val="22"/>
        </w:rPr>
        <w:t>. 2007;177(4):1423-1426. doi:10.1016/j.juro.2006.11.089</w:t>
      </w:r>
    </w:p>
    <w:p w14:paraId="5D26F3D1"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6. </w:t>
      </w:r>
      <w:r w:rsidRPr="0046542F">
        <w:rPr>
          <w:rFonts w:ascii="Calibri" w:hAnsi="Calibri"/>
          <w:noProof/>
          <w:sz w:val="22"/>
        </w:rPr>
        <w:tab/>
        <w:t xml:space="preserve">Kim JJ, Ha YS, Kim JH, et al. Independent predictors of recovery of continence 3 months after robot-assisted laparoscopic radical prostatectomy. </w:t>
      </w:r>
      <w:r w:rsidRPr="0046542F">
        <w:rPr>
          <w:rFonts w:ascii="Calibri" w:hAnsi="Calibri"/>
          <w:i/>
          <w:iCs/>
          <w:noProof/>
          <w:sz w:val="22"/>
        </w:rPr>
        <w:t>J Endourol</w:t>
      </w:r>
      <w:r w:rsidRPr="0046542F">
        <w:rPr>
          <w:rFonts w:ascii="Calibri" w:hAnsi="Calibri"/>
          <w:noProof/>
          <w:sz w:val="22"/>
        </w:rPr>
        <w:t>. 2012;26(10):1290-1295. doi:10.1089/end.2012.0117</w:t>
      </w:r>
    </w:p>
    <w:p w14:paraId="3A647E9B"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7. </w:t>
      </w:r>
      <w:r w:rsidRPr="0046542F">
        <w:rPr>
          <w:rFonts w:ascii="Calibri" w:hAnsi="Calibri"/>
          <w:noProof/>
          <w:sz w:val="22"/>
        </w:rPr>
        <w:tab/>
        <w:t xml:space="preserve">Kim JH, Ha YS, Jeong SJ, Lee DH, Kim WJ, Kim IY. Impact of robot-assisted radical prostatectomy on lower urinary tract symptoms and predictive factors for symptom changes: A longitudinal study. </w:t>
      </w:r>
      <w:r w:rsidRPr="0046542F">
        <w:rPr>
          <w:rFonts w:ascii="Calibri" w:hAnsi="Calibri"/>
          <w:i/>
          <w:iCs/>
          <w:noProof/>
          <w:sz w:val="22"/>
        </w:rPr>
        <w:t>Urology</w:t>
      </w:r>
      <w:r w:rsidRPr="0046542F">
        <w:rPr>
          <w:rFonts w:ascii="Calibri" w:hAnsi="Calibri"/>
          <w:noProof/>
          <w:sz w:val="22"/>
        </w:rPr>
        <w:t>. 2013;81(4):787-793. doi:10.1016/j.urology.2012.12.038</w:t>
      </w:r>
    </w:p>
    <w:p w14:paraId="3C59C671"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8. </w:t>
      </w:r>
      <w:r w:rsidRPr="0046542F">
        <w:rPr>
          <w:rFonts w:ascii="Calibri" w:hAnsi="Calibri"/>
          <w:noProof/>
          <w:sz w:val="22"/>
        </w:rPr>
        <w:tab/>
        <w:t xml:space="preserve">Mendoza PJ, Stern JM, Li AY, et al. Pelvic anatomy on preoperative magnetic resonance imaging can predict early continence after robot-assisted radical prostatectomy. </w:t>
      </w:r>
      <w:r w:rsidRPr="0046542F">
        <w:rPr>
          <w:rFonts w:ascii="Calibri" w:hAnsi="Calibri"/>
          <w:i/>
          <w:iCs/>
          <w:noProof/>
          <w:sz w:val="22"/>
        </w:rPr>
        <w:t>J Endourol</w:t>
      </w:r>
      <w:r w:rsidRPr="0046542F">
        <w:rPr>
          <w:rFonts w:ascii="Calibri" w:hAnsi="Calibri"/>
          <w:noProof/>
          <w:sz w:val="22"/>
        </w:rPr>
        <w:t>. 2011;25(1):51-55. doi:10.1089/end.2010.0184</w:t>
      </w:r>
    </w:p>
    <w:p w14:paraId="5B1EB77D"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9. </w:t>
      </w:r>
      <w:r w:rsidRPr="0046542F">
        <w:rPr>
          <w:rFonts w:ascii="Calibri" w:hAnsi="Calibri"/>
          <w:noProof/>
          <w:sz w:val="22"/>
        </w:rPr>
        <w:tab/>
        <w:t xml:space="preserve">Link BA, Nelson R, Josephson DY, et al. The Impact of Prostate Gland Weight in Robot Assisted Laparoscopic Radical Prostatectomy. </w:t>
      </w:r>
      <w:r w:rsidRPr="0046542F">
        <w:rPr>
          <w:rFonts w:ascii="Calibri" w:hAnsi="Calibri"/>
          <w:i/>
          <w:iCs/>
          <w:noProof/>
          <w:sz w:val="22"/>
        </w:rPr>
        <w:t>J Urol</w:t>
      </w:r>
      <w:r w:rsidRPr="0046542F">
        <w:rPr>
          <w:rFonts w:ascii="Calibri" w:hAnsi="Calibri"/>
          <w:noProof/>
          <w:sz w:val="22"/>
        </w:rPr>
        <w:t>. 2008;180(3):928-932. doi:10.1016/j.juro.2008.05.029</w:t>
      </w:r>
    </w:p>
    <w:p w14:paraId="4472197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10. </w:t>
      </w:r>
      <w:r w:rsidRPr="0046542F">
        <w:rPr>
          <w:rFonts w:ascii="Calibri" w:hAnsi="Calibri"/>
          <w:noProof/>
          <w:sz w:val="22"/>
        </w:rPr>
        <w:tab/>
        <w:t xml:space="preserve">Song C, Doo CK, Hong JH, Choo MS, Kim CS, Ahn H. Relationship Between the Integrity of the Pelvic Floor Muscles and Early Recovery of Continence After Radical Prostatectomy. </w:t>
      </w:r>
      <w:r w:rsidRPr="0046542F">
        <w:rPr>
          <w:rFonts w:ascii="Calibri" w:hAnsi="Calibri"/>
          <w:i/>
          <w:iCs/>
          <w:noProof/>
          <w:sz w:val="22"/>
        </w:rPr>
        <w:t>J Urol</w:t>
      </w:r>
      <w:r w:rsidRPr="0046542F">
        <w:rPr>
          <w:rFonts w:ascii="Calibri" w:hAnsi="Calibri"/>
          <w:noProof/>
          <w:sz w:val="22"/>
        </w:rPr>
        <w:t>. 2007;178(1):208-211. doi:10.1016/j.juro.2007.03.044</w:t>
      </w:r>
    </w:p>
    <w:p w14:paraId="6847C903"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11. </w:t>
      </w:r>
      <w:r w:rsidRPr="0046542F">
        <w:rPr>
          <w:rFonts w:ascii="Calibri" w:hAnsi="Calibri"/>
          <w:noProof/>
          <w:sz w:val="22"/>
        </w:rPr>
        <w:tab/>
        <w:t xml:space="preserve">Coakley F V., Eberhardt S, Kattan MW, Wei DC, Scardino PT, Hricak H. Urinary continence after radical retropubic prostatectomy: Relationship with membranous urethral length on preoperative endorectal magnetic resonance. </w:t>
      </w:r>
      <w:r w:rsidRPr="0046542F">
        <w:rPr>
          <w:rFonts w:ascii="Calibri" w:hAnsi="Calibri"/>
          <w:i/>
          <w:iCs/>
          <w:noProof/>
          <w:sz w:val="22"/>
        </w:rPr>
        <w:t>J Urol</w:t>
      </w:r>
      <w:r w:rsidRPr="0046542F">
        <w:rPr>
          <w:rFonts w:ascii="Calibri" w:hAnsi="Calibri"/>
          <w:noProof/>
          <w:sz w:val="22"/>
        </w:rPr>
        <w:t>. 2002. doi:10.1016/S0022-5347(05)64568-5</w:t>
      </w:r>
    </w:p>
    <w:p w14:paraId="24F76FAD"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12. </w:t>
      </w:r>
      <w:r w:rsidRPr="0046542F">
        <w:rPr>
          <w:rFonts w:ascii="Calibri" w:hAnsi="Calibri"/>
          <w:noProof/>
          <w:sz w:val="22"/>
        </w:rPr>
        <w:tab/>
        <w:t xml:space="preserve">Von Bodman C, Matsushita K, Savage C, et al. Recovery of urinary function after radical prostatectomy: Predictors of urinary function on preoperative prostate magnetic resonance imaging. </w:t>
      </w:r>
      <w:r w:rsidRPr="0046542F">
        <w:rPr>
          <w:rFonts w:ascii="Calibri" w:hAnsi="Calibri"/>
          <w:i/>
          <w:iCs/>
          <w:noProof/>
          <w:sz w:val="22"/>
        </w:rPr>
        <w:t>J Urol</w:t>
      </w:r>
      <w:r w:rsidRPr="0046542F">
        <w:rPr>
          <w:rFonts w:ascii="Calibri" w:hAnsi="Calibri"/>
          <w:noProof/>
          <w:sz w:val="22"/>
        </w:rPr>
        <w:t>. 2012;187(3):945-950. doi:10.1016/j.juro.2011.10.143</w:t>
      </w:r>
    </w:p>
    <w:p w14:paraId="438415CA"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13. </w:t>
      </w:r>
      <w:r w:rsidRPr="0046542F">
        <w:rPr>
          <w:rFonts w:ascii="Calibri" w:hAnsi="Calibri"/>
          <w:noProof/>
          <w:sz w:val="22"/>
        </w:rPr>
        <w:tab/>
        <w:t xml:space="preserve">Grivas N, van der Roest R, Schouten D, et al. Quantitative assessment of fascia preservation improves the prediction of membranous urethral length and inner levator distance on continence outcome after robot-assisted radical prostatectomy. </w:t>
      </w:r>
      <w:r w:rsidRPr="0046542F">
        <w:rPr>
          <w:rFonts w:ascii="Calibri" w:hAnsi="Calibri"/>
          <w:i/>
          <w:iCs/>
          <w:noProof/>
          <w:sz w:val="22"/>
        </w:rPr>
        <w:t>Neurourol Urodyn</w:t>
      </w:r>
      <w:r w:rsidRPr="0046542F">
        <w:rPr>
          <w:rFonts w:ascii="Calibri" w:hAnsi="Calibri"/>
          <w:noProof/>
          <w:sz w:val="22"/>
        </w:rPr>
        <w:t>. 2018. doi:10.1002/nau.23318</w:t>
      </w:r>
    </w:p>
    <w:p w14:paraId="3D44CD56"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14. </w:t>
      </w:r>
      <w:r w:rsidRPr="0046542F">
        <w:rPr>
          <w:rFonts w:ascii="Calibri" w:hAnsi="Calibri"/>
          <w:noProof/>
          <w:sz w:val="22"/>
        </w:rPr>
        <w:tab/>
        <w:t xml:space="preserve">Paparel P, Akin O, Sandhu JS, et al. Recovery of Urinary Continence after Radical Prostatectomy: Association with Urethral Length and Urethral Fibrosis Measured by Preoperative and Postoperative Endorectal Magnetic Resonance Imaging. </w:t>
      </w:r>
      <w:r w:rsidRPr="0046542F">
        <w:rPr>
          <w:rFonts w:ascii="Calibri" w:hAnsi="Calibri"/>
          <w:i/>
          <w:iCs/>
          <w:noProof/>
          <w:sz w:val="22"/>
        </w:rPr>
        <w:t>Eur Urol</w:t>
      </w:r>
      <w:r w:rsidRPr="0046542F">
        <w:rPr>
          <w:rFonts w:ascii="Calibri" w:hAnsi="Calibri"/>
          <w:noProof/>
          <w:sz w:val="22"/>
        </w:rPr>
        <w:t>. 2009;55(3):629-639. doi:10.1016/j.eururo.2008.08.057</w:t>
      </w:r>
    </w:p>
    <w:p w14:paraId="138625C0"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15. </w:t>
      </w:r>
      <w:r w:rsidRPr="0046542F">
        <w:rPr>
          <w:rFonts w:ascii="Calibri" w:hAnsi="Calibri"/>
          <w:noProof/>
          <w:sz w:val="22"/>
        </w:rPr>
        <w:tab/>
        <w:t>Kim M, Park M, Pak S, et al. Integrity of the Urethral Sphincter Complex, Nerve-sparing, and Long-</w:t>
      </w:r>
      <w:r w:rsidRPr="0046542F">
        <w:rPr>
          <w:rFonts w:ascii="Calibri" w:hAnsi="Calibri"/>
          <w:noProof/>
          <w:sz w:val="22"/>
        </w:rPr>
        <w:lastRenderedPageBreak/>
        <w:t xml:space="preserve">term Continence Status after Robotic-assisted Radical Prostatectomy. </w:t>
      </w:r>
      <w:r w:rsidRPr="0046542F">
        <w:rPr>
          <w:rFonts w:ascii="Calibri" w:hAnsi="Calibri"/>
          <w:i/>
          <w:iCs/>
          <w:noProof/>
          <w:sz w:val="22"/>
        </w:rPr>
        <w:t>Eur Urol Focus</w:t>
      </w:r>
      <w:r w:rsidRPr="0046542F">
        <w:rPr>
          <w:rFonts w:ascii="Calibri" w:hAnsi="Calibri"/>
          <w:noProof/>
          <w:sz w:val="22"/>
        </w:rPr>
        <w:t>. 2019;5(5):823-830. doi:10.1016/j.euf.2018.04.021</w:t>
      </w:r>
    </w:p>
    <w:p w14:paraId="1C62F17F"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16. </w:t>
      </w:r>
      <w:r w:rsidRPr="0046542F">
        <w:rPr>
          <w:rFonts w:ascii="Calibri" w:hAnsi="Calibri"/>
          <w:noProof/>
          <w:sz w:val="22"/>
        </w:rPr>
        <w:tab/>
        <w:t xml:space="preserve">Tienza A, Hevia M, Benito A, Pascual JI, Zudaire JJ, Robles JE. MRI factors to predict urinary incontinence after retropubic/laparoscopic radical prostatectomy. </w:t>
      </w:r>
      <w:r w:rsidRPr="0046542F">
        <w:rPr>
          <w:rFonts w:ascii="Calibri" w:hAnsi="Calibri"/>
          <w:i/>
          <w:iCs/>
          <w:noProof/>
          <w:sz w:val="22"/>
        </w:rPr>
        <w:t>Int Urol Nephrol</w:t>
      </w:r>
      <w:r w:rsidRPr="0046542F">
        <w:rPr>
          <w:rFonts w:ascii="Calibri" w:hAnsi="Calibri"/>
          <w:noProof/>
          <w:sz w:val="22"/>
        </w:rPr>
        <w:t>. 2015;47(8):1343-1349. doi:10.1007/s11255-015-1019-8</w:t>
      </w:r>
    </w:p>
    <w:p w14:paraId="1AD75833"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17. </w:t>
      </w:r>
      <w:r w:rsidRPr="0046542F">
        <w:rPr>
          <w:rFonts w:ascii="Calibri" w:hAnsi="Calibri"/>
          <w:noProof/>
          <w:sz w:val="22"/>
        </w:rPr>
        <w:tab/>
        <w:t xml:space="preserve">Jeong CW, Oh JJ, Jeong SJ, et al. Effect of dorsal vascular complex size on the recovery of continence after radical prostatectomy. </w:t>
      </w:r>
      <w:r w:rsidRPr="0046542F">
        <w:rPr>
          <w:rFonts w:ascii="Calibri" w:hAnsi="Calibri"/>
          <w:i/>
          <w:iCs/>
          <w:noProof/>
          <w:sz w:val="22"/>
        </w:rPr>
        <w:t>World J Urol</w:t>
      </w:r>
      <w:r w:rsidRPr="0046542F">
        <w:rPr>
          <w:rFonts w:ascii="Calibri" w:hAnsi="Calibri"/>
          <w:noProof/>
          <w:sz w:val="22"/>
        </w:rPr>
        <w:t>. 2013;31(2):383-388. doi:10.1007/s00345-012-0857-6</w:t>
      </w:r>
    </w:p>
    <w:p w14:paraId="525F65CE"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18. </w:t>
      </w:r>
      <w:r w:rsidRPr="0046542F">
        <w:rPr>
          <w:rFonts w:ascii="Calibri" w:hAnsi="Calibri"/>
          <w:noProof/>
          <w:sz w:val="22"/>
        </w:rPr>
        <w:tab/>
        <w:t xml:space="preserve">Hakimi AA, Faleck DM, Agalliu I, Rozenblit AM, Chernyak V, Ghavamian R. Preoperative and intraoperative measurements of urethral length as predictors of continence after robot-assisted radical prostatectomy. </w:t>
      </w:r>
      <w:r w:rsidRPr="0046542F">
        <w:rPr>
          <w:rFonts w:ascii="Calibri" w:hAnsi="Calibri"/>
          <w:i/>
          <w:iCs/>
          <w:noProof/>
          <w:sz w:val="22"/>
        </w:rPr>
        <w:t>J Endourol</w:t>
      </w:r>
      <w:r w:rsidRPr="0046542F">
        <w:rPr>
          <w:rFonts w:ascii="Calibri" w:hAnsi="Calibri"/>
          <w:noProof/>
          <w:sz w:val="22"/>
        </w:rPr>
        <w:t>. 2011;25(6):1025-1030. doi:10.1089/end.2010.0692</w:t>
      </w:r>
    </w:p>
    <w:p w14:paraId="30D1826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19. </w:t>
      </w:r>
      <w:r w:rsidRPr="0046542F">
        <w:rPr>
          <w:rFonts w:ascii="Calibri" w:hAnsi="Calibri"/>
          <w:noProof/>
          <w:sz w:val="22"/>
        </w:rPr>
        <w:tab/>
        <w:t xml:space="preserve">Regis L, Cuadras M, Miret E, et al. MP05-04 ANATOMICAL BENCHMARKS IN PREOPERATIVE MAGNETIC RESONANCE IMAGING PREDICT EARLY CONTINENCE RECOVERY FOLLOWING ROBOTIC RADICAL PROSTATECTOMY. </w:t>
      </w:r>
      <w:r w:rsidRPr="0046542F">
        <w:rPr>
          <w:rFonts w:ascii="Calibri" w:hAnsi="Calibri"/>
          <w:i/>
          <w:iCs/>
          <w:noProof/>
          <w:sz w:val="22"/>
        </w:rPr>
        <w:t>J Urol</w:t>
      </w:r>
      <w:r w:rsidRPr="0046542F">
        <w:rPr>
          <w:rFonts w:ascii="Calibri" w:hAnsi="Calibri"/>
          <w:noProof/>
          <w:sz w:val="22"/>
        </w:rPr>
        <w:t>. 2018. doi:10.1016/J.JURO.2018.02.175</w:t>
      </w:r>
    </w:p>
    <w:p w14:paraId="708478D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20. </w:t>
      </w:r>
      <w:r w:rsidRPr="0046542F">
        <w:rPr>
          <w:rFonts w:ascii="Calibri" w:hAnsi="Calibri"/>
          <w:noProof/>
          <w:sz w:val="22"/>
        </w:rPr>
        <w:tab/>
        <w:t xml:space="preserve">Hu Y, Lou Y, Liao L, et al. Comparison of Urodynamics and Perineal Ultrasonography for the Diagnosis of Mixed Urinary Incontinence in Women. </w:t>
      </w:r>
      <w:r w:rsidRPr="0046542F">
        <w:rPr>
          <w:rFonts w:ascii="Calibri" w:hAnsi="Calibri"/>
          <w:i/>
          <w:iCs/>
          <w:noProof/>
          <w:sz w:val="22"/>
        </w:rPr>
        <w:t>J Ultrasound Med</w:t>
      </w:r>
      <w:r w:rsidRPr="0046542F">
        <w:rPr>
          <w:rFonts w:ascii="Calibri" w:hAnsi="Calibri"/>
          <w:noProof/>
          <w:sz w:val="22"/>
        </w:rPr>
        <w:t>. 2018;37(11):2647-2656. doi:10.1002/jum.14626</w:t>
      </w:r>
    </w:p>
    <w:p w14:paraId="251CBEA0"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21. </w:t>
      </w:r>
      <w:r w:rsidRPr="0046542F">
        <w:rPr>
          <w:rFonts w:ascii="Calibri" w:hAnsi="Calibri"/>
          <w:noProof/>
          <w:sz w:val="22"/>
        </w:rPr>
        <w:tab/>
        <w:t xml:space="preserve">Tunn R, Schaer G, Peschers U, et al. Updated recommendations on ultrasonography in urogynecology. </w:t>
      </w:r>
      <w:r w:rsidRPr="0046542F">
        <w:rPr>
          <w:rFonts w:ascii="Calibri" w:hAnsi="Calibri"/>
          <w:i/>
          <w:iCs/>
          <w:noProof/>
          <w:sz w:val="22"/>
        </w:rPr>
        <w:t>Int Urogynecol J</w:t>
      </w:r>
      <w:r w:rsidRPr="0046542F">
        <w:rPr>
          <w:rFonts w:ascii="Calibri" w:hAnsi="Calibri"/>
          <w:noProof/>
          <w:sz w:val="22"/>
        </w:rPr>
        <w:t>. 2005;16(3):236-241. doi:10.1007/s00192-004-1228-7</w:t>
      </w:r>
    </w:p>
    <w:p w14:paraId="5AC9D6F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22. </w:t>
      </w:r>
      <w:r w:rsidRPr="0046542F">
        <w:rPr>
          <w:rFonts w:ascii="Calibri" w:hAnsi="Calibri"/>
          <w:noProof/>
          <w:sz w:val="22"/>
        </w:rPr>
        <w:tab/>
        <w:t xml:space="preserve">Myers RP, Cahill DR, Devine RM, King BF. Anatomy of radical prostatectomy as defined by magnetic resonance imaging. </w:t>
      </w:r>
      <w:r w:rsidRPr="0046542F">
        <w:rPr>
          <w:rFonts w:ascii="Calibri" w:hAnsi="Calibri"/>
          <w:i/>
          <w:iCs/>
          <w:noProof/>
          <w:sz w:val="22"/>
        </w:rPr>
        <w:t>J Urol</w:t>
      </w:r>
      <w:r w:rsidRPr="0046542F">
        <w:rPr>
          <w:rFonts w:ascii="Calibri" w:hAnsi="Calibri"/>
          <w:noProof/>
          <w:sz w:val="22"/>
        </w:rPr>
        <w:t>. 1998;159(6):2148-2158. doi:10.1016/S0022-5347(01)63297-X</w:t>
      </w:r>
    </w:p>
    <w:p w14:paraId="0C48AF94"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23. </w:t>
      </w:r>
      <w:r w:rsidRPr="0046542F">
        <w:rPr>
          <w:rFonts w:ascii="Calibri" w:hAnsi="Calibri"/>
          <w:noProof/>
          <w:sz w:val="22"/>
        </w:rPr>
        <w:tab/>
        <w:t xml:space="preserve">Dubbelman YD, Bosch JLHR. Urethral sphincter function before and after radical prostatectomy: Systematic review of the prognostic value of various assessment techniques. </w:t>
      </w:r>
      <w:r w:rsidRPr="0046542F">
        <w:rPr>
          <w:rFonts w:ascii="Calibri" w:hAnsi="Calibri"/>
          <w:i/>
          <w:iCs/>
          <w:noProof/>
          <w:sz w:val="22"/>
        </w:rPr>
        <w:t>Neurourol Urodyn</w:t>
      </w:r>
      <w:r w:rsidRPr="0046542F">
        <w:rPr>
          <w:rFonts w:ascii="Calibri" w:hAnsi="Calibri"/>
          <w:noProof/>
          <w:sz w:val="22"/>
        </w:rPr>
        <w:t>. 2013;32(7):957-963. doi:10.1002/nau.22355</w:t>
      </w:r>
    </w:p>
    <w:p w14:paraId="5B847F2E"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24. </w:t>
      </w:r>
      <w:r w:rsidRPr="0046542F">
        <w:rPr>
          <w:rFonts w:ascii="Calibri" w:hAnsi="Calibri"/>
          <w:noProof/>
          <w:sz w:val="22"/>
        </w:rPr>
        <w:tab/>
        <w:t xml:space="preserve">Curci NE, Gartland P, Shankar PR, et al. Long-distance longitudinal prostate MRI quality assurance: from startup to 12 months. </w:t>
      </w:r>
      <w:r w:rsidRPr="0046542F">
        <w:rPr>
          <w:rFonts w:ascii="Calibri" w:hAnsi="Calibri"/>
          <w:i/>
          <w:iCs/>
          <w:noProof/>
          <w:sz w:val="22"/>
        </w:rPr>
        <w:t>Abdom Radiol</w:t>
      </w:r>
      <w:r w:rsidRPr="0046542F">
        <w:rPr>
          <w:rFonts w:ascii="Calibri" w:hAnsi="Calibri"/>
          <w:noProof/>
          <w:sz w:val="22"/>
        </w:rPr>
        <w:t>. 2018;43(9):2505-2512. doi:10.1007/s00261-018-1481-8</w:t>
      </w:r>
    </w:p>
    <w:p w14:paraId="050FED51"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25. </w:t>
      </w:r>
      <w:r w:rsidRPr="0046542F">
        <w:rPr>
          <w:rFonts w:ascii="Calibri" w:hAnsi="Calibri"/>
          <w:noProof/>
          <w:sz w:val="22"/>
        </w:rPr>
        <w:tab/>
        <w:t xml:space="preserve">Sauer M, Tennstedt P, Berliner C, et al. Predictors of short and long term urinary incontinence after radical prostatectomy in prostate MRI: Significance and reliability of standardized measurements. </w:t>
      </w:r>
      <w:r w:rsidRPr="0046542F">
        <w:rPr>
          <w:rFonts w:ascii="Calibri" w:hAnsi="Calibri"/>
          <w:i/>
          <w:iCs/>
          <w:noProof/>
          <w:sz w:val="22"/>
        </w:rPr>
        <w:t>Eur J Radiol</w:t>
      </w:r>
      <w:r w:rsidRPr="0046542F">
        <w:rPr>
          <w:rFonts w:ascii="Calibri" w:hAnsi="Calibri"/>
          <w:noProof/>
          <w:sz w:val="22"/>
        </w:rPr>
        <w:t>. 2019. doi:10.1016/j.ejrad.2019.108668</w:t>
      </w:r>
    </w:p>
    <w:p w14:paraId="4F0FFB9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26. </w:t>
      </w:r>
      <w:r w:rsidRPr="0046542F">
        <w:rPr>
          <w:rFonts w:ascii="Calibri" w:hAnsi="Calibri"/>
          <w:noProof/>
          <w:sz w:val="22"/>
        </w:rPr>
        <w:tab/>
        <w:t xml:space="preserve">Womble PR, Montie JE, Ye Z, Linsell SM, Lane BR, Miller DC. Contemporary use of initial active surveillance among men in Michigan with low-risk prostate cancer. </w:t>
      </w:r>
      <w:r w:rsidRPr="0046542F">
        <w:rPr>
          <w:rFonts w:ascii="Calibri" w:hAnsi="Calibri"/>
          <w:i/>
          <w:iCs/>
          <w:noProof/>
          <w:sz w:val="22"/>
        </w:rPr>
        <w:t>Eur Urol</w:t>
      </w:r>
      <w:r w:rsidRPr="0046542F">
        <w:rPr>
          <w:rFonts w:ascii="Calibri" w:hAnsi="Calibri"/>
          <w:noProof/>
          <w:sz w:val="22"/>
        </w:rPr>
        <w:t>. 2015;67(1):44-50. doi:10.1016/j.eururo.2014.08.024</w:t>
      </w:r>
    </w:p>
    <w:p w14:paraId="3333AE6B"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27. </w:t>
      </w:r>
      <w:r w:rsidRPr="0046542F">
        <w:rPr>
          <w:rFonts w:ascii="Calibri" w:hAnsi="Calibri"/>
          <w:noProof/>
          <w:sz w:val="22"/>
        </w:rPr>
        <w:tab/>
        <w:t xml:space="preserve">Womble PR, Linsell SM, Gao Y, et al. A Statewide Intervention to Reduce Hospitalizations after Prostate Biopsy. </w:t>
      </w:r>
      <w:r w:rsidRPr="0046542F">
        <w:rPr>
          <w:rFonts w:ascii="Calibri" w:hAnsi="Calibri"/>
          <w:i/>
          <w:iCs/>
          <w:noProof/>
          <w:sz w:val="22"/>
        </w:rPr>
        <w:t>J Urol</w:t>
      </w:r>
      <w:r w:rsidRPr="0046542F">
        <w:rPr>
          <w:rFonts w:ascii="Calibri" w:hAnsi="Calibri"/>
          <w:noProof/>
          <w:sz w:val="22"/>
        </w:rPr>
        <w:t>. 2015;194(2):403-409. doi:10.1016/j.juro.2015.03.126</w:t>
      </w:r>
    </w:p>
    <w:p w14:paraId="60B6FB30"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28. </w:t>
      </w:r>
      <w:r w:rsidRPr="0046542F">
        <w:rPr>
          <w:rFonts w:ascii="Calibri" w:hAnsi="Calibri"/>
          <w:noProof/>
          <w:sz w:val="22"/>
        </w:rPr>
        <w:tab/>
        <w:t>Publications | Michigan Urological Surgery Improvement Collaborative (MUSIC). https://musicurology.com/publications/. Accessed February 15, 2021.</w:t>
      </w:r>
    </w:p>
    <w:p w14:paraId="66CF42BE"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29. </w:t>
      </w:r>
      <w:r w:rsidRPr="0046542F">
        <w:rPr>
          <w:rFonts w:ascii="Calibri" w:hAnsi="Calibri"/>
          <w:noProof/>
          <w:sz w:val="22"/>
        </w:rPr>
        <w:tab/>
        <w:t>Michigan Urological Surgery Improvement Collaborative. Michigan Urological Surgery Improvement Collaborative (MUSIC) Patient Questionnaire. https://musicurology.com/pro/. Accessed May 26, 2020.</w:t>
      </w:r>
    </w:p>
    <w:p w14:paraId="384058DA"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30. </w:t>
      </w:r>
      <w:r w:rsidRPr="0046542F">
        <w:rPr>
          <w:rFonts w:ascii="Calibri" w:hAnsi="Calibri"/>
          <w:noProof/>
          <w:sz w:val="22"/>
        </w:rPr>
        <w:tab/>
        <w:t xml:space="preserve">Wei JT, Dunn RL, Litwin MS, Sandler HM, Sanda MG. Development and validation of the Expanded Prostate Cancer Index Composite (EPIC) for comprehensive assessment of health-related quality of life in men with prostate cancer. </w:t>
      </w:r>
      <w:r w:rsidRPr="0046542F">
        <w:rPr>
          <w:rFonts w:ascii="Calibri" w:hAnsi="Calibri"/>
          <w:i/>
          <w:iCs/>
          <w:noProof/>
          <w:sz w:val="22"/>
        </w:rPr>
        <w:t>Urology</w:t>
      </w:r>
      <w:r w:rsidRPr="0046542F">
        <w:rPr>
          <w:rFonts w:ascii="Calibri" w:hAnsi="Calibri"/>
          <w:noProof/>
          <w:sz w:val="22"/>
        </w:rPr>
        <w:t>. 2000;56(6):899-905. doi:10.1016/S0090-4295(00)00858-X</w:t>
      </w:r>
    </w:p>
    <w:p w14:paraId="179D7745"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31. </w:t>
      </w:r>
      <w:r w:rsidRPr="0046542F">
        <w:rPr>
          <w:rFonts w:ascii="Calibri" w:hAnsi="Calibri"/>
          <w:noProof/>
          <w:sz w:val="22"/>
        </w:rPr>
        <w:tab/>
        <w:t>EPIC-26 Short Form. https://medicine.umich.edu/sites/default/files/content/downloads/EPIC-SF-6.2002_0.pdf. Accessed January 22, 2021.</w:t>
      </w:r>
    </w:p>
    <w:p w14:paraId="0EF53DE7"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32. </w:t>
      </w:r>
      <w:r w:rsidRPr="0046542F">
        <w:rPr>
          <w:rFonts w:ascii="Calibri" w:hAnsi="Calibri"/>
          <w:noProof/>
          <w:sz w:val="22"/>
        </w:rPr>
        <w:tab/>
        <w:t xml:space="preserve">Sanda M, Wei J, Litwin M DR. Scoring Instructions for the Expanded Prostate cancer Index </w:t>
      </w:r>
      <w:r w:rsidRPr="0046542F">
        <w:rPr>
          <w:rFonts w:ascii="Calibri" w:hAnsi="Calibri"/>
          <w:noProof/>
          <w:sz w:val="22"/>
        </w:rPr>
        <w:lastRenderedPageBreak/>
        <w:t>Composite Short Form (EPIC-26).</w:t>
      </w:r>
    </w:p>
    <w:p w14:paraId="7154845B"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33. </w:t>
      </w:r>
      <w:r w:rsidRPr="0046542F">
        <w:rPr>
          <w:rFonts w:ascii="Calibri" w:hAnsi="Calibri"/>
          <w:noProof/>
          <w:sz w:val="22"/>
        </w:rPr>
        <w:tab/>
        <w:t xml:space="preserve">Singh K, Tin AL, Dunn RL, Kim T, Vickers AJ. Development and Validation of Crosswalks for Patient-reported Sexual and Urinary Outcomes Between Commonly Used Instruments. </w:t>
      </w:r>
      <w:r w:rsidRPr="0046542F">
        <w:rPr>
          <w:rFonts w:ascii="Calibri" w:hAnsi="Calibri"/>
          <w:i/>
          <w:iCs/>
          <w:noProof/>
          <w:sz w:val="22"/>
        </w:rPr>
        <w:t>Eur Urol</w:t>
      </w:r>
      <w:r w:rsidRPr="0046542F">
        <w:rPr>
          <w:rFonts w:ascii="Calibri" w:hAnsi="Calibri"/>
          <w:noProof/>
          <w:sz w:val="22"/>
        </w:rPr>
        <w:t>. 2019;75(5):723-730. doi:10.1016/j.eururo.2018.12.002</w:t>
      </w:r>
    </w:p>
    <w:p w14:paraId="5266952A"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34. </w:t>
      </w:r>
      <w:r w:rsidRPr="0046542F">
        <w:rPr>
          <w:rFonts w:ascii="Calibri" w:hAnsi="Calibri"/>
          <w:noProof/>
          <w:sz w:val="22"/>
        </w:rPr>
        <w:tab/>
        <w:t xml:space="preserve">Mungovan SF, Sandhu JS, Akin O, Smart NA, Graham PL, Patel MI. Preoperative Membranous Urethral Length Measurement and Continence Recovery Following Radical Prostatectomy: A Systematic Review and Meta-analysis. </w:t>
      </w:r>
      <w:r w:rsidRPr="0046542F">
        <w:rPr>
          <w:rFonts w:ascii="Calibri" w:hAnsi="Calibri"/>
          <w:i/>
          <w:iCs/>
          <w:noProof/>
          <w:sz w:val="22"/>
        </w:rPr>
        <w:t>Eur Urol</w:t>
      </w:r>
      <w:r w:rsidRPr="0046542F">
        <w:rPr>
          <w:rFonts w:ascii="Calibri" w:hAnsi="Calibri"/>
          <w:noProof/>
          <w:sz w:val="22"/>
        </w:rPr>
        <w:t>. 2017. doi:10.1016/j.eururo.2016.06.023</w:t>
      </w:r>
    </w:p>
    <w:p w14:paraId="44753AB5"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35. </w:t>
      </w:r>
      <w:r w:rsidRPr="0046542F">
        <w:rPr>
          <w:rFonts w:ascii="Calibri" w:hAnsi="Calibri"/>
          <w:noProof/>
          <w:sz w:val="22"/>
        </w:rPr>
        <w:tab/>
        <w:t xml:space="preserve">DeLong ER, DeLong DM, Clarke-Pearson DL. Comparing the Areas under Two or More Correlated Receiver Operating Characteristic Curves: A Nonparametric Approach. </w:t>
      </w:r>
      <w:r w:rsidRPr="0046542F">
        <w:rPr>
          <w:rFonts w:ascii="Calibri" w:hAnsi="Calibri"/>
          <w:i/>
          <w:iCs/>
          <w:noProof/>
          <w:sz w:val="22"/>
        </w:rPr>
        <w:t>Biometrics</w:t>
      </w:r>
      <w:r w:rsidRPr="0046542F">
        <w:rPr>
          <w:rFonts w:ascii="Calibri" w:hAnsi="Calibri"/>
          <w:noProof/>
          <w:sz w:val="22"/>
        </w:rPr>
        <w:t>. 1988;44(3):837. doi:10.2307/2531595</w:t>
      </w:r>
    </w:p>
    <w:p w14:paraId="605A1269"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36. </w:t>
      </w:r>
      <w:r w:rsidRPr="0046542F">
        <w:rPr>
          <w:rFonts w:ascii="Calibri" w:hAnsi="Calibri"/>
          <w:noProof/>
          <w:sz w:val="22"/>
        </w:rPr>
        <w:tab/>
        <w:t xml:space="preserve">Landers R. Computing Intraclass Correlations (ICC) as Estimates of Interrater Reliability in SPSS. </w:t>
      </w:r>
      <w:r w:rsidRPr="0046542F">
        <w:rPr>
          <w:rFonts w:ascii="Calibri" w:hAnsi="Calibri"/>
          <w:i/>
          <w:iCs/>
          <w:noProof/>
          <w:sz w:val="22"/>
        </w:rPr>
        <w:t>The Winnower</w:t>
      </w:r>
      <w:r w:rsidRPr="0046542F">
        <w:rPr>
          <w:rFonts w:ascii="Calibri" w:hAnsi="Calibri"/>
          <w:noProof/>
          <w:sz w:val="22"/>
        </w:rPr>
        <w:t>. June 2015. doi:10.15200/winn.143518.81744</w:t>
      </w:r>
    </w:p>
    <w:p w14:paraId="7A812C1E" w14:textId="77777777" w:rsidR="0046542F" w:rsidRPr="0046542F" w:rsidRDefault="0046542F" w:rsidP="0046542F">
      <w:pPr>
        <w:widowControl w:val="0"/>
        <w:autoSpaceDE w:val="0"/>
        <w:autoSpaceDN w:val="0"/>
        <w:adjustRightInd w:val="0"/>
        <w:ind w:left="640" w:hanging="640"/>
        <w:rPr>
          <w:rFonts w:ascii="Calibri" w:hAnsi="Calibri"/>
          <w:noProof/>
          <w:sz w:val="22"/>
        </w:rPr>
      </w:pPr>
      <w:r w:rsidRPr="0046542F">
        <w:rPr>
          <w:rFonts w:ascii="Calibri" w:hAnsi="Calibri"/>
          <w:noProof/>
          <w:sz w:val="22"/>
        </w:rPr>
        <w:t xml:space="preserve">37. </w:t>
      </w:r>
      <w:r w:rsidRPr="0046542F">
        <w:rPr>
          <w:rFonts w:ascii="Calibri" w:hAnsi="Calibri"/>
          <w:noProof/>
          <w:sz w:val="22"/>
        </w:rPr>
        <w:tab/>
        <w:t xml:space="preserve">Bujang MA, Baharum N. </w:t>
      </w:r>
      <w:r w:rsidRPr="0046542F">
        <w:rPr>
          <w:rFonts w:ascii="Calibri" w:hAnsi="Calibri"/>
          <w:i/>
          <w:iCs/>
          <w:noProof/>
          <w:sz w:val="22"/>
        </w:rPr>
        <w:t>A Simplified Guide to Determination of Sample Size Requirements for Estimating the Value of Intraclass Correlation Coefficient: A Review</w:t>
      </w:r>
      <w:r w:rsidRPr="0046542F">
        <w:rPr>
          <w:rFonts w:ascii="Calibri" w:hAnsi="Calibri"/>
          <w:noProof/>
          <w:sz w:val="22"/>
        </w:rPr>
        <w:t>. Vol 12.; 2017.</w:t>
      </w:r>
    </w:p>
    <w:p w14:paraId="42A7943D" w14:textId="0C1361F6" w:rsidR="004E6745" w:rsidRDefault="004E6745" w:rsidP="0046542F">
      <w:pPr>
        <w:widowControl w:val="0"/>
        <w:autoSpaceDE w:val="0"/>
        <w:autoSpaceDN w:val="0"/>
        <w:adjustRightInd w:val="0"/>
        <w:ind w:left="640" w:hanging="640"/>
        <w:rPr>
          <w:rFonts w:asciiTheme="minorHAnsi" w:hAnsiTheme="minorHAnsi" w:cstheme="minorHAnsi"/>
          <w:sz w:val="22"/>
          <w:szCs w:val="22"/>
        </w:rPr>
      </w:pPr>
      <w:r>
        <w:rPr>
          <w:rFonts w:asciiTheme="minorHAnsi" w:hAnsiTheme="minorHAnsi" w:cstheme="minorHAnsi"/>
          <w:sz w:val="22"/>
          <w:szCs w:val="22"/>
        </w:rPr>
        <w:fldChar w:fldCharType="end"/>
      </w:r>
    </w:p>
    <w:p w14:paraId="6684659D" w14:textId="60C1AA89" w:rsidR="00143FAD" w:rsidRDefault="00143FAD" w:rsidP="00295F5C">
      <w:pPr>
        <w:spacing w:line="480" w:lineRule="auto"/>
        <w:rPr>
          <w:rFonts w:asciiTheme="minorHAnsi" w:hAnsiTheme="minorHAnsi" w:cstheme="minorHAnsi"/>
          <w:sz w:val="22"/>
          <w:szCs w:val="22"/>
        </w:rPr>
      </w:pPr>
    </w:p>
    <w:p w14:paraId="00B82A6E" w14:textId="77777777" w:rsidR="00260272" w:rsidRDefault="00260272" w:rsidP="00295F5C">
      <w:pPr>
        <w:spacing w:line="480" w:lineRule="auto"/>
        <w:rPr>
          <w:rFonts w:asciiTheme="minorHAnsi" w:hAnsiTheme="minorHAnsi" w:cstheme="minorHAnsi"/>
          <w:sz w:val="22"/>
          <w:szCs w:val="22"/>
        </w:rPr>
      </w:pPr>
    </w:p>
    <w:p w14:paraId="0F436B8D" w14:textId="77777777" w:rsidR="00B536F4" w:rsidRDefault="00B536F4">
      <w:pPr>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19108EB6" w14:textId="6F905616" w:rsidR="00295F5C" w:rsidRPr="001F5CEC" w:rsidRDefault="00295F5C" w:rsidP="00295F5C">
      <w:pPr>
        <w:spacing w:line="480" w:lineRule="auto"/>
        <w:rPr>
          <w:rFonts w:asciiTheme="minorHAnsi" w:hAnsiTheme="minorHAnsi" w:cstheme="minorHAnsi"/>
          <w:b/>
          <w:sz w:val="22"/>
          <w:szCs w:val="22"/>
          <w:u w:val="single"/>
        </w:rPr>
      </w:pPr>
      <w:r w:rsidRPr="001F5CEC">
        <w:rPr>
          <w:rFonts w:asciiTheme="minorHAnsi" w:hAnsiTheme="minorHAnsi" w:cstheme="minorHAnsi"/>
          <w:b/>
          <w:sz w:val="22"/>
          <w:szCs w:val="22"/>
          <w:u w:val="single"/>
        </w:rPr>
        <w:lastRenderedPageBreak/>
        <w:t xml:space="preserve">Tables </w:t>
      </w:r>
    </w:p>
    <w:p w14:paraId="0A367680" w14:textId="3F884983" w:rsidR="00DE02DD" w:rsidRDefault="004450B8"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t>Table 1</w:t>
      </w:r>
      <w:r>
        <w:rPr>
          <w:rFonts w:asciiTheme="minorHAnsi" w:hAnsiTheme="minorHAnsi" w:cstheme="minorHAnsi"/>
          <w:sz w:val="22"/>
          <w:szCs w:val="22"/>
        </w:rPr>
        <w:t>. Patient demographic and clinical characteristics</w:t>
      </w:r>
      <w:r w:rsidR="008D1BA5">
        <w:rPr>
          <w:rFonts w:asciiTheme="minorHAnsi" w:hAnsiTheme="minorHAnsi" w:cstheme="minorHAnsi"/>
          <w:sz w:val="22"/>
          <w:szCs w:val="22"/>
        </w:rPr>
        <w:t xml:space="preserve">, N = </w:t>
      </w:r>
      <w:r w:rsidR="00DE02DD">
        <w:rPr>
          <w:rFonts w:asciiTheme="minorHAnsi" w:hAnsiTheme="minorHAnsi" w:cstheme="minorHAnsi"/>
          <w:sz w:val="22"/>
          <w:szCs w:val="22"/>
        </w:rPr>
        <w:t>589</w:t>
      </w:r>
      <w:r w:rsidR="001A0AAD">
        <w:rPr>
          <w:rFonts w:asciiTheme="minorHAnsi" w:hAnsiTheme="minorHAnsi" w:cstheme="minorHAnsi"/>
          <w:sz w:val="22"/>
          <w:szCs w:val="22"/>
        </w:rPr>
        <w:t xml:space="preserve"> unless otherwise noted </w:t>
      </w:r>
    </w:p>
    <w:tbl>
      <w:tblPr>
        <w:tblStyle w:val="TableGrid"/>
        <w:tblW w:w="0" w:type="auto"/>
        <w:tblLook w:val="04A0" w:firstRow="1" w:lastRow="0" w:firstColumn="1" w:lastColumn="0" w:noHBand="0" w:noVBand="1"/>
      </w:tblPr>
      <w:tblGrid>
        <w:gridCol w:w="3955"/>
        <w:gridCol w:w="1530"/>
      </w:tblGrid>
      <w:tr w:rsidR="008D1BA5" w14:paraId="02ED23EA" w14:textId="77777777" w:rsidTr="00260272">
        <w:trPr>
          <w:trHeight w:val="288"/>
        </w:trPr>
        <w:tc>
          <w:tcPr>
            <w:tcW w:w="3955" w:type="dxa"/>
            <w:vAlign w:val="center"/>
          </w:tcPr>
          <w:p w14:paraId="1152EEBF" w14:textId="387D30EB" w:rsidR="008D1BA5" w:rsidRPr="00F52A0A" w:rsidRDefault="00BD5981" w:rsidP="00DE02DD">
            <w:pPr>
              <w:pStyle w:val="NoSpacing"/>
              <w:rPr>
                <w:rFonts w:asciiTheme="minorHAnsi" w:hAnsiTheme="minorHAnsi" w:cstheme="minorHAnsi"/>
                <w:sz w:val="18"/>
                <w:szCs w:val="18"/>
              </w:rPr>
            </w:pPr>
            <w:r>
              <w:rPr>
                <w:rFonts w:asciiTheme="minorHAnsi" w:hAnsiTheme="minorHAnsi" w:cstheme="minorHAnsi"/>
                <w:sz w:val="18"/>
                <w:szCs w:val="18"/>
              </w:rPr>
              <w:t>A</w:t>
            </w:r>
            <w:r w:rsidR="008D1BA5" w:rsidRPr="00F52A0A">
              <w:rPr>
                <w:rFonts w:asciiTheme="minorHAnsi" w:hAnsiTheme="minorHAnsi" w:cstheme="minorHAnsi"/>
                <w:sz w:val="18"/>
                <w:szCs w:val="18"/>
              </w:rPr>
              <w:t xml:space="preserve">ge at </w:t>
            </w:r>
            <w:r w:rsidR="00090403" w:rsidRPr="00F52A0A">
              <w:rPr>
                <w:rFonts w:asciiTheme="minorHAnsi" w:hAnsiTheme="minorHAnsi" w:cstheme="minorHAnsi"/>
                <w:sz w:val="18"/>
                <w:szCs w:val="18"/>
              </w:rPr>
              <w:t>diagnosis</w:t>
            </w:r>
            <w:r>
              <w:rPr>
                <w:rFonts w:asciiTheme="minorHAnsi" w:hAnsiTheme="minorHAnsi" w:cstheme="minorHAnsi"/>
                <w:sz w:val="18"/>
                <w:szCs w:val="18"/>
              </w:rPr>
              <w:t xml:space="preserve">, </w:t>
            </w:r>
            <w:r w:rsidRPr="00BD5981">
              <w:rPr>
                <w:rFonts w:asciiTheme="minorHAnsi" w:hAnsiTheme="minorHAnsi" w:cstheme="minorHAnsi"/>
                <w:i/>
                <w:sz w:val="18"/>
                <w:szCs w:val="18"/>
              </w:rPr>
              <w:t>years</w:t>
            </w:r>
            <w:r>
              <w:rPr>
                <w:rFonts w:asciiTheme="minorHAnsi" w:hAnsiTheme="minorHAnsi" w:cstheme="minorHAnsi"/>
                <w:sz w:val="18"/>
                <w:szCs w:val="18"/>
              </w:rPr>
              <w:t xml:space="preserve">, </w:t>
            </w:r>
            <w:r w:rsidR="00F314A2">
              <w:rPr>
                <w:rFonts w:asciiTheme="minorHAnsi" w:hAnsiTheme="minorHAnsi" w:cstheme="minorHAnsi"/>
                <w:sz w:val="18"/>
                <w:szCs w:val="18"/>
              </w:rPr>
              <w:t>mean</w:t>
            </w:r>
            <w:r>
              <w:rPr>
                <w:rFonts w:asciiTheme="minorHAnsi" w:hAnsiTheme="minorHAnsi" w:cstheme="minorHAnsi"/>
                <w:sz w:val="18"/>
                <w:szCs w:val="18"/>
              </w:rPr>
              <w:t xml:space="preserve"> </w:t>
            </w:r>
            <w:r w:rsidR="008D1BA5" w:rsidRPr="00F52A0A">
              <w:rPr>
                <w:rFonts w:asciiTheme="minorHAnsi" w:hAnsiTheme="minorHAnsi" w:cstheme="minorHAnsi"/>
                <w:sz w:val="18"/>
                <w:szCs w:val="18"/>
              </w:rPr>
              <w:t>(</w:t>
            </w:r>
            <w:r w:rsidR="00F314A2">
              <w:rPr>
                <w:rFonts w:asciiTheme="minorHAnsi" w:hAnsiTheme="minorHAnsi" w:cstheme="minorHAnsi"/>
                <w:sz w:val="18"/>
                <w:szCs w:val="18"/>
              </w:rPr>
              <w:t>SD</w:t>
            </w:r>
            <w:r w:rsidR="008D1BA5" w:rsidRPr="00F52A0A">
              <w:rPr>
                <w:rFonts w:asciiTheme="minorHAnsi" w:hAnsiTheme="minorHAnsi" w:cstheme="minorHAnsi"/>
                <w:sz w:val="18"/>
                <w:szCs w:val="18"/>
              </w:rPr>
              <w:t xml:space="preserve">) </w:t>
            </w:r>
          </w:p>
        </w:tc>
        <w:tc>
          <w:tcPr>
            <w:tcW w:w="1530" w:type="dxa"/>
            <w:vAlign w:val="center"/>
          </w:tcPr>
          <w:p w14:paraId="359DD47A" w14:textId="5B80E936" w:rsidR="008D1BA5" w:rsidRPr="00F52A0A" w:rsidRDefault="00FC01AE" w:rsidP="00DE02DD">
            <w:pPr>
              <w:pStyle w:val="NoSpacing"/>
              <w:jc w:val="center"/>
              <w:rPr>
                <w:rFonts w:asciiTheme="minorHAnsi" w:hAnsiTheme="minorHAnsi" w:cstheme="minorHAnsi"/>
                <w:sz w:val="18"/>
                <w:szCs w:val="18"/>
              </w:rPr>
            </w:pPr>
            <w:r w:rsidRPr="00F52A0A">
              <w:rPr>
                <w:rFonts w:asciiTheme="minorHAnsi" w:hAnsiTheme="minorHAnsi" w:cstheme="minorHAnsi"/>
                <w:sz w:val="18"/>
                <w:szCs w:val="18"/>
              </w:rPr>
              <w:t>63 (</w:t>
            </w:r>
            <w:r w:rsidR="00F314A2">
              <w:rPr>
                <w:rFonts w:asciiTheme="minorHAnsi" w:hAnsiTheme="minorHAnsi" w:cstheme="minorHAnsi"/>
                <w:sz w:val="18"/>
                <w:szCs w:val="18"/>
              </w:rPr>
              <w:t>7</w:t>
            </w:r>
            <w:r w:rsidRPr="00F52A0A">
              <w:rPr>
                <w:rFonts w:asciiTheme="minorHAnsi" w:hAnsiTheme="minorHAnsi" w:cstheme="minorHAnsi"/>
                <w:sz w:val="18"/>
                <w:szCs w:val="18"/>
              </w:rPr>
              <w:t>)</w:t>
            </w:r>
          </w:p>
        </w:tc>
      </w:tr>
      <w:tr w:rsidR="008D1BA5" w14:paraId="2778B353" w14:textId="77777777" w:rsidTr="00260272">
        <w:trPr>
          <w:trHeight w:val="288"/>
        </w:trPr>
        <w:tc>
          <w:tcPr>
            <w:tcW w:w="3955" w:type="dxa"/>
            <w:vAlign w:val="center"/>
          </w:tcPr>
          <w:p w14:paraId="5E878872" w14:textId="5559C4CF" w:rsidR="008D1BA5" w:rsidRPr="00F52A0A" w:rsidRDefault="00DE02DD" w:rsidP="00DE02DD">
            <w:pPr>
              <w:pStyle w:val="NoSpacing"/>
              <w:rPr>
                <w:rFonts w:asciiTheme="minorHAnsi" w:hAnsiTheme="minorHAnsi" w:cstheme="minorHAnsi"/>
                <w:sz w:val="18"/>
                <w:szCs w:val="18"/>
              </w:rPr>
            </w:pPr>
            <w:r w:rsidRPr="00F52A0A">
              <w:rPr>
                <w:rFonts w:asciiTheme="minorHAnsi" w:hAnsiTheme="minorHAnsi" w:cstheme="minorHAnsi"/>
                <w:sz w:val="18"/>
                <w:szCs w:val="18"/>
              </w:rPr>
              <w:t>BMI</w:t>
            </w:r>
            <w:r w:rsidR="00BD5981">
              <w:rPr>
                <w:rFonts w:asciiTheme="minorHAnsi" w:hAnsiTheme="minorHAnsi" w:cstheme="minorHAnsi"/>
                <w:sz w:val="18"/>
                <w:szCs w:val="18"/>
              </w:rPr>
              <w:t xml:space="preserve">, </w:t>
            </w:r>
            <w:r w:rsidR="00BD5981" w:rsidRPr="00BD5981">
              <w:rPr>
                <w:rFonts w:asciiTheme="minorHAnsi" w:hAnsiTheme="minorHAnsi" w:cstheme="minorHAnsi"/>
                <w:i/>
                <w:sz w:val="18"/>
                <w:szCs w:val="18"/>
              </w:rPr>
              <w:t>kg/m</w:t>
            </w:r>
            <w:r w:rsidR="00BD5981" w:rsidRPr="00BD5981">
              <w:rPr>
                <w:rFonts w:asciiTheme="minorHAnsi" w:hAnsiTheme="minorHAnsi" w:cstheme="minorHAnsi"/>
                <w:i/>
                <w:sz w:val="18"/>
                <w:szCs w:val="18"/>
                <w:vertAlign w:val="superscript"/>
              </w:rPr>
              <w:t>2</w:t>
            </w:r>
            <w:r w:rsidR="00BD5981">
              <w:rPr>
                <w:rFonts w:asciiTheme="minorHAnsi" w:hAnsiTheme="minorHAnsi" w:cstheme="minorHAnsi"/>
                <w:sz w:val="18"/>
                <w:szCs w:val="18"/>
              </w:rPr>
              <w:t>, m</w:t>
            </w:r>
            <w:r w:rsidR="00F314A2">
              <w:rPr>
                <w:rFonts w:asciiTheme="minorHAnsi" w:hAnsiTheme="minorHAnsi" w:cstheme="minorHAnsi"/>
                <w:sz w:val="18"/>
                <w:szCs w:val="18"/>
              </w:rPr>
              <w:t>ean</w:t>
            </w:r>
            <w:r w:rsidR="00BD5981">
              <w:rPr>
                <w:rFonts w:asciiTheme="minorHAnsi" w:hAnsiTheme="minorHAnsi" w:cstheme="minorHAnsi"/>
                <w:sz w:val="18"/>
                <w:szCs w:val="18"/>
              </w:rPr>
              <w:t xml:space="preserve"> (</w:t>
            </w:r>
            <w:r w:rsidR="00F314A2">
              <w:rPr>
                <w:rFonts w:asciiTheme="minorHAnsi" w:hAnsiTheme="minorHAnsi" w:cstheme="minorHAnsi"/>
                <w:sz w:val="18"/>
                <w:szCs w:val="18"/>
              </w:rPr>
              <w:t>SD</w:t>
            </w:r>
            <w:r w:rsidR="00BD5981">
              <w:rPr>
                <w:rFonts w:asciiTheme="minorHAnsi" w:hAnsiTheme="minorHAnsi" w:cstheme="minorHAnsi"/>
                <w:sz w:val="18"/>
                <w:szCs w:val="18"/>
              </w:rPr>
              <w:t>)</w:t>
            </w:r>
          </w:p>
        </w:tc>
        <w:tc>
          <w:tcPr>
            <w:tcW w:w="1530" w:type="dxa"/>
            <w:vAlign w:val="center"/>
          </w:tcPr>
          <w:p w14:paraId="108A5F5A" w14:textId="7B088905" w:rsidR="008D1BA5" w:rsidRPr="00F52A0A" w:rsidRDefault="00FC01AE" w:rsidP="00DE02DD">
            <w:pPr>
              <w:pStyle w:val="NoSpacing"/>
              <w:jc w:val="center"/>
              <w:rPr>
                <w:rFonts w:asciiTheme="minorHAnsi" w:hAnsiTheme="minorHAnsi" w:cstheme="minorHAnsi"/>
                <w:sz w:val="18"/>
                <w:szCs w:val="18"/>
              </w:rPr>
            </w:pPr>
            <w:r w:rsidRPr="00F52A0A">
              <w:rPr>
                <w:rFonts w:asciiTheme="minorHAnsi" w:hAnsiTheme="minorHAnsi" w:cstheme="minorHAnsi"/>
                <w:sz w:val="18"/>
                <w:szCs w:val="18"/>
              </w:rPr>
              <w:t>29.</w:t>
            </w:r>
            <w:r w:rsidR="00F314A2">
              <w:rPr>
                <w:rFonts w:asciiTheme="minorHAnsi" w:hAnsiTheme="minorHAnsi" w:cstheme="minorHAnsi"/>
                <w:sz w:val="18"/>
                <w:szCs w:val="18"/>
              </w:rPr>
              <w:t>7</w:t>
            </w:r>
            <w:r w:rsidRPr="00F52A0A">
              <w:rPr>
                <w:rFonts w:asciiTheme="minorHAnsi" w:hAnsiTheme="minorHAnsi" w:cstheme="minorHAnsi"/>
                <w:sz w:val="18"/>
                <w:szCs w:val="18"/>
              </w:rPr>
              <w:t xml:space="preserve"> (</w:t>
            </w:r>
            <w:r w:rsidR="00F314A2">
              <w:rPr>
                <w:rFonts w:asciiTheme="minorHAnsi" w:hAnsiTheme="minorHAnsi" w:cstheme="minorHAnsi"/>
                <w:sz w:val="18"/>
                <w:szCs w:val="18"/>
              </w:rPr>
              <w:t>4.7</w:t>
            </w:r>
            <w:r w:rsidRPr="00F52A0A">
              <w:rPr>
                <w:rFonts w:asciiTheme="minorHAnsi" w:hAnsiTheme="minorHAnsi" w:cstheme="minorHAnsi"/>
                <w:sz w:val="18"/>
                <w:szCs w:val="18"/>
              </w:rPr>
              <w:t>)</w:t>
            </w:r>
          </w:p>
        </w:tc>
      </w:tr>
      <w:tr w:rsidR="008D1BA5" w14:paraId="2B5FBBDE" w14:textId="77777777" w:rsidTr="00260272">
        <w:trPr>
          <w:trHeight w:val="288"/>
        </w:trPr>
        <w:tc>
          <w:tcPr>
            <w:tcW w:w="3955" w:type="dxa"/>
            <w:vAlign w:val="center"/>
          </w:tcPr>
          <w:p w14:paraId="5C843065" w14:textId="3850DBFB" w:rsidR="008D1BA5" w:rsidRPr="00F52A0A" w:rsidRDefault="008D1BA5" w:rsidP="00DE02DD">
            <w:pPr>
              <w:pStyle w:val="NoSpacing"/>
              <w:rPr>
                <w:rFonts w:asciiTheme="minorHAnsi" w:hAnsiTheme="minorHAnsi" w:cstheme="minorHAnsi"/>
                <w:sz w:val="18"/>
                <w:szCs w:val="18"/>
              </w:rPr>
            </w:pPr>
            <w:r w:rsidRPr="00F52A0A">
              <w:rPr>
                <w:rFonts w:asciiTheme="minorHAnsi" w:hAnsiTheme="minorHAnsi" w:cstheme="minorHAnsi"/>
                <w:sz w:val="18"/>
                <w:szCs w:val="18"/>
              </w:rPr>
              <w:t xml:space="preserve"> </w:t>
            </w:r>
            <w:r w:rsidR="00DE02DD" w:rsidRPr="00F52A0A">
              <w:rPr>
                <w:rFonts w:asciiTheme="minorHAnsi" w:hAnsiTheme="minorHAnsi" w:cstheme="minorHAnsi"/>
                <w:sz w:val="18"/>
                <w:szCs w:val="18"/>
              </w:rPr>
              <w:t>Race</w:t>
            </w:r>
            <w:r w:rsidR="00BD5981">
              <w:rPr>
                <w:rFonts w:asciiTheme="minorHAnsi" w:hAnsiTheme="minorHAnsi" w:cstheme="minorHAnsi"/>
                <w:sz w:val="18"/>
                <w:szCs w:val="18"/>
              </w:rPr>
              <w:t>, %</w:t>
            </w:r>
          </w:p>
        </w:tc>
        <w:tc>
          <w:tcPr>
            <w:tcW w:w="1530" w:type="dxa"/>
            <w:vAlign w:val="center"/>
          </w:tcPr>
          <w:p w14:paraId="56418A33" w14:textId="77777777" w:rsidR="008D1BA5" w:rsidRPr="00F52A0A" w:rsidRDefault="008D1BA5" w:rsidP="00DE02DD">
            <w:pPr>
              <w:pStyle w:val="NoSpacing"/>
              <w:jc w:val="center"/>
              <w:rPr>
                <w:rFonts w:asciiTheme="minorHAnsi" w:hAnsiTheme="minorHAnsi" w:cstheme="minorHAnsi"/>
                <w:sz w:val="18"/>
                <w:szCs w:val="18"/>
              </w:rPr>
            </w:pPr>
          </w:p>
        </w:tc>
      </w:tr>
      <w:tr w:rsidR="008D1BA5" w14:paraId="3435C7DA" w14:textId="77777777" w:rsidTr="00260272">
        <w:trPr>
          <w:trHeight w:val="288"/>
        </w:trPr>
        <w:tc>
          <w:tcPr>
            <w:tcW w:w="3955" w:type="dxa"/>
            <w:vAlign w:val="center"/>
          </w:tcPr>
          <w:p w14:paraId="12B6F85C" w14:textId="236F45D4" w:rsidR="008D1BA5" w:rsidRPr="00F52A0A" w:rsidRDefault="00DE02DD" w:rsidP="00DE02DD">
            <w:pPr>
              <w:pStyle w:val="NoSpacing"/>
              <w:rPr>
                <w:rFonts w:asciiTheme="minorHAnsi" w:hAnsiTheme="minorHAnsi" w:cstheme="minorHAnsi"/>
                <w:sz w:val="18"/>
                <w:szCs w:val="18"/>
              </w:rPr>
            </w:pPr>
            <w:r w:rsidRPr="00F52A0A">
              <w:rPr>
                <w:rFonts w:asciiTheme="minorHAnsi" w:hAnsiTheme="minorHAnsi" w:cstheme="minorHAnsi"/>
                <w:sz w:val="18"/>
                <w:szCs w:val="18"/>
              </w:rPr>
              <w:t xml:space="preserve">      </w:t>
            </w:r>
            <w:r w:rsidR="00383ACF">
              <w:rPr>
                <w:rFonts w:asciiTheme="minorHAnsi" w:hAnsiTheme="minorHAnsi" w:cstheme="minorHAnsi"/>
                <w:sz w:val="18"/>
                <w:szCs w:val="18"/>
              </w:rPr>
              <w:t xml:space="preserve">  </w:t>
            </w:r>
            <w:r w:rsidRPr="00F52A0A">
              <w:rPr>
                <w:rFonts w:asciiTheme="minorHAnsi" w:hAnsiTheme="minorHAnsi" w:cstheme="minorHAnsi"/>
                <w:sz w:val="18"/>
                <w:szCs w:val="18"/>
              </w:rPr>
              <w:t xml:space="preserve">Caucasian </w:t>
            </w:r>
          </w:p>
        </w:tc>
        <w:tc>
          <w:tcPr>
            <w:tcW w:w="1530" w:type="dxa"/>
            <w:vAlign w:val="center"/>
          </w:tcPr>
          <w:p w14:paraId="1062AA8E" w14:textId="4D094787" w:rsidR="008D1BA5" w:rsidRPr="00F52A0A" w:rsidRDefault="00FC01AE" w:rsidP="00DE02DD">
            <w:pPr>
              <w:pStyle w:val="NoSpacing"/>
              <w:jc w:val="center"/>
              <w:rPr>
                <w:rFonts w:asciiTheme="minorHAnsi" w:hAnsiTheme="minorHAnsi" w:cstheme="minorHAnsi"/>
                <w:sz w:val="18"/>
                <w:szCs w:val="18"/>
              </w:rPr>
            </w:pPr>
            <w:r w:rsidRPr="00F52A0A">
              <w:rPr>
                <w:rFonts w:asciiTheme="minorHAnsi" w:hAnsiTheme="minorHAnsi" w:cstheme="minorHAnsi"/>
                <w:sz w:val="18"/>
                <w:szCs w:val="18"/>
              </w:rPr>
              <w:t>89%</w:t>
            </w:r>
          </w:p>
        </w:tc>
      </w:tr>
      <w:tr w:rsidR="008D1BA5" w14:paraId="23AB950D" w14:textId="77777777" w:rsidTr="00260272">
        <w:trPr>
          <w:trHeight w:val="288"/>
        </w:trPr>
        <w:tc>
          <w:tcPr>
            <w:tcW w:w="3955" w:type="dxa"/>
            <w:vAlign w:val="center"/>
          </w:tcPr>
          <w:p w14:paraId="43BE3DE5" w14:textId="0914A50D" w:rsidR="008D1BA5" w:rsidRPr="00F52A0A" w:rsidRDefault="00DE02DD" w:rsidP="00DE02DD">
            <w:pPr>
              <w:pStyle w:val="NoSpacing"/>
              <w:rPr>
                <w:rFonts w:asciiTheme="minorHAnsi" w:hAnsiTheme="minorHAnsi" w:cstheme="minorHAnsi"/>
                <w:sz w:val="18"/>
                <w:szCs w:val="18"/>
              </w:rPr>
            </w:pPr>
            <w:r w:rsidRPr="00F52A0A">
              <w:rPr>
                <w:rFonts w:asciiTheme="minorHAnsi" w:hAnsiTheme="minorHAnsi" w:cstheme="minorHAnsi"/>
                <w:sz w:val="18"/>
                <w:szCs w:val="18"/>
              </w:rPr>
              <w:t xml:space="preserve">      </w:t>
            </w:r>
            <w:r w:rsidR="00383ACF">
              <w:rPr>
                <w:rFonts w:asciiTheme="minorHAnsi" w:hAnsiTheme="minorHAnsi" w:cstheme="minorHAnsi"/>
                <w:sz w:val="18"/>
                <w:szCs w:val="18"/>
              </w:rPr>
              <w:t xml:space="preserve">  </w:t>
            </w:r>
            <w:r w:rsidRPr="00F52A0A">
              <w:rPr>
                <w:rFonts w:asciiTheme="minorHAnsi" w:hAnsiTheme="minorHAnsi" w:cstheme="minorHAnsi"/>
                <w:sz w:val="18"/>
                <w:szCs w:val="18"/>
              </w:rPr>
              <w:t>African American</w:t>
            </w:r>
          </w:p>
        </w:tc>
        <w:tc>
          <w:tcPr>
            <w:tcW w:w="1530" w:type="dxa"/>
            <w:vAlign w:val="center"/>
          </w:tcPr>
          <w:p w14:paraId="74595F57" w14:textId="0B005280" w:rsidR="008D1BA5" w:rsidRPr="00F52A0A" w:rsidRDefault="00BF4935" w:rsidP="00DE02DD">
            <w:pPr>
              <w:pStyle w:val="NoSpacing"/>
              <w:jc w:val="center"/>
              <w:rPr>
                <w:rFonts w:asciiTheme="minorHAnsi" w:hAnsiTheme="minorHAnsi" w:cstheme="minorHAnsi"/>
                <w:sz w:val="18"/>
                <w:szCs w:val="18"/>
              </w:rPr>
            </w:pPr>
            <w:r>
              <w:rPr>
                <w:rFonts w:asciiTheme="minorHAnsi" w:hAnsiTheme="minorHAnsi" w:cstheme="minorHAnsi"/>
                <w:sz w:val="18"/>
                <w:szCs w:val="18"/>
              </w:rPr>
              <w:t>6</w:t>
            </w:r>
            <w:r w:rsidR="00FC01AE" w:rsidRPr="00F52A0A">
              <w:rPr>
                <w:rFonts w:asciiTheme="minorHAnsi" w:hAnsiTheme="minorHAnsi" w:cstheme="minorHAnsi"/>
                <w:sz w:val="18"/>
                <w:szCs w:val="18"/>
              </w:rPr>
              <w:t>%</w:t>
            </w:r>
          </w:p>
        </w:tc>
      </w:tr>
      <w:tr w:rsidR="008D1BA5" w14:paraId="2A3693D7" w14:textId="77777777" w:rsidTr="00260272">
        <w:trPr>
          <w:trHeight w:val="288"/>
        </w:trPr>
        <w:tc>
          <w:tcPr>
            <w:tcW w:w="3955" w:type="dxa"/>
            <w:vAlign w:val="center"/>
          </w:tcPr>
          <w:p w14:paraId="0881E4B9" w14:textId="1559597B" w:rsidR="008D1BA5" w:rsidRPr="00F52A0A" w:rsidRDefault="00DE02DD" w:rsidP="00DE02DD">
            <w:pPr>
              <w:pStyle w:val="NoSpacing"/>
              <w:rPr>
                <w:rFonts w:asciiTheme="minorHAnsi" w:hAnsiTheme="minorHAnsi" w:cstheme="minorHAnsi"/>
                <w:sz w:val="18"/>
                <w:szCs w:val="18"/>
              </w:rPr>
            </w:pPr>
            <w:r w:rsidRPr="00F52A0A">
              <w:rPr>
                <w:rFonts w:asciiTheme="minorHAnsi" w:hAnsiTheme="minorHAnsi" w:cstheme="minorHAnsi"/>
                <w:sz w:val="18"/>
                <w:szCs w:val="18"/>
              </w:rPr>
              <w:t xml:space="preserve">     </w:t>
            </w:r>
            <w:r w:rsidR="00FC01AE" w:rsidRPr="00F52A0A">
              <w:rPr>
                <w:rFonts w:asciiTheme="minorHAnsi" w:hAnsiTheme="minorHAnsi" w:cstheme="minorHAnsi"/>
                <w:sz w:val="18"/>
                <w:szCs w:val="18"/>
              </w:rPr>
              <w:t xml:space="preserve"> </w:t>
            </w:r>
            <w:r w:rsidR="00383ACF">
              <w:rPr>
                <w:rFonts w:asciiTheme="minorHAnsi" w:hAnsiTheme="minorHAnsi" w:cstheme="minorHAnsi"/>
                <w:sz w:val="18"/>
                <w:szCs w:val="18"/>
              </w:rPr>
              <w:t xml:space="preserve">  </w:t>
            </w:r>
            <w:r w:rsidRPr="00F52A0A">
              <w:rPr>
                <w:rFonts w:asciiTheme="minorHAnsi" w:hAnsiTheme="minorHAnsi" w:cstheme="minorHAnsi"/>
                <w:sz w:val="18"/>
                <w:szCs w:val="18"/>
              </w:rPr>
              <w:t xml:space="preserve">Other/Unknown </w:t>
            </w:r>
          </w:p>
        </w:tc>
        <w:tc>
          <w:tcPr>
            <w:tcW w:w="1530" w:type="dxa"/>
            <w:vAlign w:val="center"/>
          </w:tcPr>
          <w:p w14:paraId="7A304E3E" w14:textId="6AA333AF" w:rsidR="008D1BA5" w:rsidRPr="00F52A0A" w:rsidRDefault="00BF4935" w:rsidP="00DE02DD">
            <w:pPr>
              <w:pStyle w:val="NoSpacing"/>
              <w:jc w:val="center"/>
              <w:rPr>
                <w:rFonts w:asciiTheme="minorHAnsi" w:hAnsiTheme="minorHAnsi" w:cstheme="minorHAnsi"/>
                <w:sz w:val="18"/>
                <w:szCs w:val="18"/>
              </w:rPr>
            </w:pPr>
            <w:r>
              <w:rPr>
                <w:rFonts w:asciiTheme="minorHAnsi" w:hAnsiTheme="minorHAnsi" w:cstheme="minorHAnsi"/>
                <w:sz w:val="18"/>
                <w:szCs w:val="18"/>
              </w:rPr>
              <w:t>4</w:t>
            </w:r>
            <w:r w:rsidR="00FC01AE" w:rsidRPr="00F52A0A">
              <w:rPr>
                <w:rFonts w:asciiTheme="minorHAnsi" w:hAnsiTheme="minorHAnsi" w:cstheme="minorHAnsi"/>
                <w:sz w:val="18"/>
                <w:szCs w:val="18"/>
              </w:rPr>
              <w:t>%</w:t>
            </w:r>
          </w:p>
        </w:tc>
      </w:tr>
      <w:tr w:rsidR="00FC01AE" w14:paraId="4071F6FC" w14:textId="77777777" w:rsidTr="00260272">
        <w:trPr>
          <w:trHeight w:val="288"/>
        </w:trPr>
        <w:tc>
          <w:tcPr>
            <w:tcW w:w="3955" w:type="dxa"/>
            <w:vAlign w:val="center"/>
          </w:tcPr>
          <w:p w14:paraId="192D709E" w14:textId="3486BA5D" w:rsidR="00FC01AE" w:rsidRPr="00F52A0A" w:rsidRDefault="00FC01AE" w:rsidP="00FC01AE">
            <w:pPr>
              <w:pStyle w:val="NoSpacing"/>
              <w:rPr>
                <w:rFonts w:asciiTheme="minorHAnsi" w:hAnsiTheme="minorHAnsi" w:cstheme="minorHAnsi"/>
                <w:sz w:val="18"/>
                <w:szCs w:val="18"/>
              </w:rPr>
            </w:pPr>
            <w:r w:rsidRPr="00F52A0A">
              <w:rPr>
                <w:rFonts w:asciiTheme="minorHAnsi" w:hAnsiTheme="minorHAnsi" w:cstheme="minorHAnsi"/>
                <w:sz w:val="18"/>
                <w:szCs w:val="18"/>
              </w:rPr>
              <w:t xml:space="preserve">      </w:t>
            </w:r>
            <w:r w:rsidR="00383ACF">
              <w:rPr>
                <w:rFonts w:asciiTheme="minorHAnsi" w:hAnsiTheme="minorHAnsi" w:cstheme="minorHAnsi"/>
                <w:sz w:val="18"/>
                <w:szCs w:val="18"/>
              </w:rPr>
              <w:t xml:space="preserve">  </w:t>
            </w:r>
            <w:r w:rsidRPr="00F52A0A">
              <w:rPr>
                <w:rFonts w:asciiTheme="minorHAnsi" w:hAnsiTheme="minorHAnsi" w:cstheme="minorHAnsi"/>
                <w:sz w:val="18"/>
                <w:szCs w:val="18"/>
              </w:rPr>
              <w:t xml:space="preserve">Asian </w:t>
            </w:r>
          </w:p>
        </w:tc>
        <w:tc>
          <w:tcPr>
            <w:tcW w:w="1530" w:type="dxa"/>
            <w:vAlign w:val="center"/>
          </w:tcPr>
          <w:p w14:paraId="7F462121" w14:textId="0F06B027" w:rsidR="00FC01AE" w:rsidRPr="00F52A0A" w:rsidRDefault="00BF4935" w:rsidP="00FC01AE">
            <w:pPr>
              <w:pStyle w:val="NoSpacing"/>
              <w:jc w:val="center"/>
              <w:rPr>
                <w:rFonts w:asciiTheme="minorHAnsi" w:hAnsiTheme="minorHAnsi" w:cstheme="minorHAnsi"/>
                <w:sz w:val="18"/>
                <w:szCs w:val="18"/>
              </w:rPr>
            </w:pPr>
            <w:r>
              <w:rPr>
                <w:rFonts w:asciiTheme="minorHAnsi" w:hAnsiTheme="minorHAnsi" w:cstheme="minorHAnsi"/>
                <w:sz w:val="18"/>
                <w:szCs w:val="18"/>
              </w:rPr>
              <w:t>1</w:t>
            </w:r>
            <w:r w:rsidR="00FC01AE" w:rsidRPr="00F52A0A">
              <w:rPr>
                <w:rFonts w:asciiTheme="minorHAnsi" w:hAnsiTheme="minorHAnsi" w:cstheme="minorHAnsi"/>
                <w:sz w:val="18"/>
                <w:szCs w:val="18"/>
              </w:rPr>
              <w:t>%</w:t>
            </w:r>
          </w:p>
        </w:tc>
      </w:tr>
      <w:tr w:rsidR="00FC01AE" w14:paraId="1297815A" w14:textId="77777777" w:rsidTr="00260272">
        <w:trPr>
          <w:trHeight w:val="288"/>
        </w:trPr>
        <w:tc>
          <w:tcPr>
            <w:tcW w:w="3955" w:type="dxa"/>
            <w:vAlign w:val="center"/>
          </w:tcPr>
          <w:p w14:paraId="4CD9B8C3" w14:textId="3441741D" w:rsidR="00FC01AE" w:rsidRPr="00F52A0A" w:rsidRDefault="00FC01AE" w:rsidP="00FC01AE">
            <w:pPr>
              <w:pStyle w:val="NoSpacing"/>
              <w:rPr>
                <w:rFonts w:asciiTheme="minorHAnsi" w:hAnsiTheme="minorHAnsi" w:cstheme="minorHAnsi"/>
                <w:sz w:val="18"/>
                <w:szCs w:val="18"/>
              </w:rPr>
            </w:pPr>
            <w:r w:rsidRPr="00F52A0A">
              <w:rPr>
                <w:rFonts w:asciiTheme="minorHAnsi" w:hAnsiTheme="minorHAnsi" w:cstheme="minorHAnsi"/>
                <w:sz w:val="18"/>
                <w:szCs w:val="18"/>
              </w:rPr>
              <w:t>Initial PSA</w:t>
            </w:r>
            <w:r w:rsidR="00BD5981">
              <w:rPr>
                <w:rFonts w:asciiTheme="minorHAnsi" w:hAnsiTheme="minorHAnsi" w:cstheme="minorHAnsi"/>
                <w:sz w:val="18"/>
                <w:szCs w:val="18"/>
              </w:rPr>
              <w:t xml:space="preserve">, </w:t>
            </w:r>
            <w:r w:rsidR="00BD5981" w:rsidRPr="009951C2">
              <w:rPr>
                <w:rFonts w:asciiTheme="minorHAnsi" w:hAnsiTheme="minorHAnsi" w:cstheme="minorHAnsi"/>
                <w:i/>
                <w:sz w:val="18"/>
                <w:szCs w:val="18"/>
              </w:rPr>
              <w:t>ng/ml</w:t>
            </w:r>
            <w:r w:rsidR="00BD5981">
              <w:rPr>
                <w:rFonts w:asciiTheme="minorHAnsi" w:hAnsiTheme="minorHAnsi" w:cstheme="minorHAnsi"/>
                <w:sz w:val="18"/>
                <w:szCs w:val="18"/>
              </w:rPr>
              <w:t xml:space="preserve">, </w:t>
            </w:r>
            <w:r w:rsidR="00F314A2">
              <w:rPr>
                <w:rFonts w:asciiTheme="minorHAnsi" w:hAnsiTheme="minorHAnsi" w:cstheme="minorHAnsi"/>
                <w:sz w:val="18"/>
                <w:szCs w:val="18"/>
              </w:rPr>
              <w:t>median</w:t>
            </w:r>
            <w:r w:rsidR="00BD5981">
              <w:rPr>
                <w:rFonts w:asciiTheme="minorHAnsi" w:hAnsiTheme="minorHAnsi" w:cstheme="minorHAnsi"/>
                <w:sz w:val="18"/>
                <w:szCs w:val="18"/>
              </w:rPr>
              <w:t xml:space="preserve"> (</w:t>
            </w:r>
            <w:r w:rsidR="00F314A2">
              <w:rPr>
                <w:rFonts w:asciiTheme="minorHAnsi" w:hAnsiTheme="minorHAnsi" w:cstheme="minorHAnsi"/>
                <w:sz w:val="18"/>
                <w:szCs w:val="18"/>
              </w:rPr>
              <w:t>IQR</w:t>
            </w:r>
            <w:r w:rsidR="00EE1256">
              <w:rPr>
                <w:rFonts w:asciiTheme="minorHAnsi" w:hAnsiTheme="minorHAnsi" w:cstheme="minorHAnsi"/>
                <w:sz w:val="18"/>
                <w:szCs w:val="18"/>
              </w:rPr>
              <w:t>)</w:t>
            </w:r>
          </w:p>
        </w:tc>
        <w:tc>
          <w:tcPr>
            <w:tcW w:w="1530" w:type="dxa"/>
            <w:vAlign w:val="center"/>
          </w:tcPr>
          <w:p w14:paraId="5791E1FD" w14:textId="1198321B" w:rsidR="00FC01AE" w:rsidRPr="00F52A0A" w:rsidRDefault="009951C2" w:rsidP="00FC01AE">
            <w:pPr>
              <w:pStyle w:val="NoSpacing"/>
              <w:jc w:val="center"/>
              <w:rPr>
                <w:rFonts w:asciiTheme="minorHAnsi" w:hAnsiTheme="minorHAnsi" w:cstheme="minorHAnsi"/>
                <w:sz w:val="18"/>
                <w:szCs w:val="18"/>
              </w:rPr>
            </w:pPr>
            <w:r>
              <w:rPr>
                <w:rFonts w:asciiTheme="minorHAnsi" w:hAnsiTheme="minorHAnsi" w:cstheme="minorHAnsi"/>
                <w:sz w:val="18"/>
                <w:szCs w:val="18"/>
              </w:rPr>
              <w:t>6.5 (4.8,9.8)</w:t>
            </w:r>
          </w:p>
        </w:tc>
      </w:tr>
      <w:tr w:rsidR="00F314A2" w14:paraId="01BFECDE" w14:textId="77777777" w:rsidTr="00260272">
        <w:trPr>
          <w:trHeight w:val="288"/>
        </w:trPr>
        <w:tc>
          <w:tcPr>
            <w:tcW w:w="3955" w:type="dxa"/>
            <w:vAlign w:val="center"/>
          </w:tcPr>
          <w:p w14:paraId="4DC506BA" w14:textId="39FC8850"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Biopsy Gleason score, # (%)</w:t>
            </w:r>
          </w:p>
        </w:tc>
        <w:tc>
          <w:tcPr>
            <w:tcW w:w="1530" w:type="dxa"/>
            <w:vAlign w:val="center"/>
          </w:tcPr>
          <w:p w14:paraId="1A9FDBCC" w14:textId="77777777" w:rsidR="00F314A2" w:rsidRPr="00F52A0A" w:rsidRDefault="00F314A2" w:rsidP="00F314A2">
            <w:pPr>
              <w:pStyle w:val="NoSpacing"/>
              <w:jc w:val="center"/>
              <w:rPr>
                <w:rFonts w:asciiTheme="minorHAnsi" w:hAnsiTheme="minorHAnsi" w:cstheme="minorHAnsi"/>
                <w:sz w:val="18"/>
                <w:szCs w:val="18"/>
              </w:rPr>
            </w:pPr>
          </w:p>
        </w:tc>
      </w:tr>
      <w:tr w:rsidR="00F314A2" w14:paraId="003A4D23" w14:textId="77777777" w:rsidTr="00260272">
        <w:trPr>
          <w:trHeight w:val="288"/>
        </w:trPr>
        <w:tc>
          <w:tcPr>
            <w:tcW w:w="3955" w:type="dxa"/>
            <w:vAlign w:val="center"/>
          </w:tcPr>
          <w:p w14:paraId="25A5451C" w14:textId="5256F7F4"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6 </w:t>
            </w:r>
          </w:p>
        </w:tc>
        <w:tc>
          <w:tcPr>
            <w:tcW w:w="1530" w:type="dxa"/>
            <w:vAlign w:val="center"/>
          </w:tcPr>
          <w:p w14:paraId="5058F84C" w14:textId="0E465BA7"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129 (2</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11CD3057" w14:textId="77777777" w:rsidTr="00260272">
        <w:trPr>
          <w:trHeight w:val="288"/>
        </w:trPr>
        <w:tc>
          <w:tcPr>
            <w:tcW w:w="3955" w:type="dxa"/>
            <w:vAlign w:val="center"/>
          </w:tcPr>
          <w:p w14:paraId="1C8672E0" w14:textId="6527B15F"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7 </w:t>
            </w:r>
          </w:p>
        </w:tc>
        <w:tc>
          <w:tcPr>
            <w:tcW w:w="1530" w:type="dxa"/>
            <w:vAlign w:val="center"/>
          </w:tcPr>
          <w:p w14:paraId="6CF1C2DB" w14:textId="1C28A99E"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321 (55%)</w:t>
            </w:r>
          </w:p>
        </w:tc>
      </w:tr>
      <w:tr w:rsidR="00F314A2" w14:paraId="19BC6DB9" w14:textId="77777777" w:rsidTr="00260272">
        <w:trPr>
          <w:trHeight w:val="288"/>
        </w:trPr>
        <w:tc>
          <w:tcPr>
            <w:tcW w:w="3955" w:type="dxa"/>
            <w:vAlign w:val="center"/>
          </w:tcPr>
          <w:p w14:paraId="60164D12" w14:textId="2FA8B5B0"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8 </w:t>
            </w:r>
          </w:p>
        </w:tc>
        <w:tc>
          <w:tcPr>
            <w:tcW w:w="1530" w:type="dxa"/>
            <w:vAlign w:val="center"/>
          </w:tcPr>
          <w:p w14:paraId="52978454" w14:textId="2A2033E8"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58 (</w:t>
            </w:r>
            <w:r w:rsidR="00BF4935">
              <w:rPr>
                <w:rFonts w:asciiTheme="minorHAnsi" w:hAnsiTheme="minorHAnsi" w:cstheme="minorHAnsi"/>
                <w:sz w:val="18"/>
                <w:szCs w:val="18"/>
              </w:rPr>
              <w:t>10</w:t>
            </w:r>
            <w:r>
              <w:rPr>
                <w:rFonts w:asciiTheme="minorHAnsi" w:hAnsiTheme="minorHAnsi" w:cstheme="minorHAnsi"/>
                <w:sz w:val="18"/>
                <w:szCs w:val="18"/>
              </w:rPr>
              <w:t>%)</w:t>
            </w:r>
          </w:p>
        </w:tc>
      </w:tr>
      <w:tr w:rsidR="00F314A2" w14:paraId="06A542DD" w14:textId="77777777" w:rsidTr="00260272">
        <w:trPr>
          <w:trHeight w:val="288"/>
        </w:trPr>
        <w:tc>
          <w:tcPr>
            <w:tcW w:w="3955" w:type="dxa"/>
            <w:vAlign w:val="center"/>
          </w:tcPr>
          <w:p w14:paraId="1964F8E7" w14:textId="764EE618"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9</w:t>
            </w:r>
          </w:p>
        </w:tc>
        <w:tc>
          <w:tcPr>
            <w:tcW w:w="1530" w:type="dxa"/>
            <w:vAlign w:val="center"/>
          </w:tcPr>
          <w:p w14:paraId="51AD766E" w14:textId="41433127"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76 (1</w:t>
            </w:r>
            <w:r w:rsidR="00BF4935">
              <w:rPr>
                <w:rFonts w:asciiTheme="minorHAnsi" w:hAnsiTheme="minorHAnsi" w:cstheme="minorHAnsi"/>
                <w:sz w:val="18"/>
                <w:szCs w:val="18"/>
              </w:rPr>
              <w:t>3</w:t>
            </w:r>
            <w:r>
              <w:rPr>
                <w:rFonts w:asciiTheme="minorHAnsi" w:hAnsiTheme="minorHAnsi" w:cstheme="minorHAnsi"/>
                <w:sz w:val="18"/>
                <w:szCs w:val="18"/>
              </w:rPr>
              <w:t>%)</w:t>
            </w:r>
          </w:p>
        </w:tc>
      </w:tr>
      <w:tr w:rsidR="00F314A2" w14:paraId="70F7FDFB" w14:textId="77777777" w:rsidTr="00260272">
        <w:trPr>
          <w:trHeight w:val="288"/>
        </w:trPr>
        <w:tc>
          <w:tcPr>
            <w:tcW w:w="3955" w:type="dxa"/>
            <w:vAlign w:val="center"/>
          </w:tcPr>
          <w:p w14:paraId="6CC15F5C" w14:textId="4BDE19A9"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10 </w:t>
            </w:r>
          </w:p>
        </w:tc>
        <w:tc>
          <w:tcPr>
            <w:tcW w:w="1530" w:type="dxa"/>
            <w:vAlign w:val="center"/>
          </w:tcPr>
          <w:p w14:paraId="51742D3A" w14:textId="4F2ADA49"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3 (</w:t>
            </w:r>
            <w:r w:rsidR="00BF4935">
              <w:rPr>
                <w:rFonts w:asciiTheme="minorHAnsi" w:hAnsiTheme="minorHAnsi" w:cstheme="minorHAnsi"/>
                <w:sz w:val="18"/>
                <w:szCs w:val="18"/>
              </w:rPr>
              <w:t>&lt;1</w:t>
            </w:r>
            <w:r>
              <w:rPr>
                <w:rFonts w:asciiTheme="minorHAnsi" w:hAnsiTheme="minorHAnsi" w:cstheme="minorHAnsi"/>
                <w:sz w:val="18"/>
                <w:szCs w:val="18"/>
              </w:rPr>
              <w:t>%)</w:t>
            </w:r>
          </w:p>
        </w:tc>
      </w:tr>
      <w:tr w:rsidR="00F314A2" w14:paraId="155CE1F4" w14:textId="77777777" w:rsidTr="00260272">
        <w:trPr>
          <w:trHeight w:val="288"/>
        </w:trPr>
        <w:tc>
          <w:tcPr>
            <w:tcW w:w="3955" w:type="dxa"/>
            <w:vAlign w:val="center"/>
          </w:tcPr>
          <w:p w14:paraId="2C67A3A7" w14:textId="6477CBF6"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Unknown</w:t>
            </w:r>
          </w:p>
        </w:tc>
        <w:tc>
          <w:tcPr>
            <w:tcW w:w="1530" w:type="dxa"/>
            <w:vAlign w:val="center"/>
          </w:tcPr>
          <w:p w14:paraId="1EFE1AF5" w14:textId="0E08293B"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 (</w:t>
            </w:r>
            <w:r w:rsidR="00BF4935">
              <w:rPr>
                <w:rFonts w:asciiTheme="minorHAnsi" w:hAnsiTheme="minorHAnsi" w:cstheme="minorHAnsi"/>
                <w:sz w:val="18"/>
                <w:szCs w:val="18"/>
              </w:rPr>
              <w:t>&lt;1</w:t>
            </w:r>
            <w:r>
              <w:rPr>
                <w:rFonts w:asciiTheme="minorHAnsi" w:hAnsiTheme="minorHAnsi" w:cstheme="minorHAnsi"/>
                <w:sz w:val="18"/>
                <w:szCs w:val="18"/>
              </w:rPr>
              <w:t>%)</w:t>
            </w:r>
          </w:p>
        </w:tc>
      </w:tr>
      <w:tr w:rsidR="00F314A2" w14:paraId="22057C25" w14:textId="77777777" w:rsidTr="00260272">
        <w:trPr>
          <w:trHeight w:val="288"/>
        </w:trPr>
        <w:tc>
          <w:tcPr>
            <w:tcW w:w="3955" w:type="dxa"/>
            <w:vAlign w:val="center"/>
          </w:tcPr>
          <w:p w14:paraId="5F44CE16" w14:textId="64BDB454" w:rsidR="00F314A2" w:rsidRPr="00F52A0A" w:rsidRDefault="00F314A2" w:rsidP="00F314A2">
            <w:pPr>
              <w:pStyle w:val="NoSpacing"/>
              <w:rPr>
                <w:rFonts w:asciiTheme="minorHAnsi" w:hAnsiTheme="minorHAnsi" w:cstheme="minorHAnsi"/>
                <w:sz w:val="18"/>
                <w:szCs w:val="18"/>
              </w:rPr>
            </w:pPr>
            <w:r w:rsidRPr="00F52A0A">
              <w:rPr>
                <w:rFonts w:asciiTheme="minorHAnsi" w:hAnsiTheme="minorHAnsi" w:cstheme="minorHAnsi"/>
                <w:sz w:val="18"/>
                <w:szCs w:val="18"/>
              </w:rPr>
              <w:t>Grade Group</w:t>
            </w:r>
            <w:r>
              <w:rPr>
                <w:rFonts w:asciiTheme="minorHAnsi" w:hAnsiTheme="minorHAnsi" w:cstheme="minorHAnsi"/>
                <w:sz w:val="18"/>
                <w:szCs w:val="18"/>
              </w:rPr>
              <w:t>, # (%)</w:t>
            </w:r>
          </w:p>
        </w:tc>
        <w:tc>
          <w:tcPr>
            <w:tcW w:w="1530" w:type="dxa"/>
            <w:vAlign w:val="center"/>
          </w:tcPr>
          <w:p w14:paraId="6DA3050C" w14:textId="77777777" w:rsidR="00F314A2" w:rsidRPr="00F52A0A" w:rsidRDefault="00F314A2" w:rsidP="00F314A2">
            <w:pPr>
              <w:pStyle w:val="NoSpacing"/>
              <w:jc w:val="center"/>
              <w:rPr>
                <w:rFonts w:asciiTheme="minorHAnsi" w:hAnsiTheme="minorHAnsi" w:cstheme="minorHAnsi"/>
                <w:sz w:val="18"/>
                <w:szCs w:val="18"/>
              </w:rPr>
            </w:pPr>
          </w:p>
        </w:tc>
      </w:tr>
      <w:tr w:rsidR="00F314A2" w14:paraId="5FCBB309" w14:textId="77777777" w:rsidTr="00260272">
        <w:trPr>
          <w:trHeight w:val="288"/>
        </w:trPr>
        <w:tc>
          <w:tcPr>
            <w:tcW w:w="3955" w:type="dxa"/>
            <w:vAlign w:val="center"/>
          </w:tcPr>
          <w:p w14:paraId="6052CBD6" w14:textId="5CBBE5B3"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1</w:t>
            </w:r>
          </w:p>
        </w:tc>
        <w:tc>
          <w:tcPr>
            <w:tcW w:w="1530" w:type="dxa"/>
            <w:vAlign w:val="center"/>
          </w:tcPr>
          <w:p w14:paraId="6362C926" w14:textId="06587B4D"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129 (2</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4022FF23" w14:textId="77777777" w:rsidTr="00260272">
        <w:trPr>
          <w:trHeight w:val="288"/>
        </w:trPr>
        <w:tc>
          <w:tcPr>
            <w:tcW w:w="3955" w:type="dxa"/>
            <w:vAlign w:val="center"/>
          </w:tcPr>
          <w:p w14:paraId="38FF4E15" w14:textId="40A8A8F2"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2</w:t>
            </w:r>
          </w:p>
        </w:tc>
        <w:tc>
          <w:tcPr>
            <w:tcW w:w="1530" w:type="dxa"/>
            <w:vAlign w:val="center"/>
          </w:tcPr>
          <w:p w14:paraId="35635E3C" w14:textId="21E82AEE"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214 (36%)</w:t>
            </w:r>
          </w:p>
        </w:tc>
      </w:tr>
      <w:tr w:rsidR="00F314A2" w14:paraId="664F263A" w14:textId="77777777" w:rsidTr="00260272">
        <w:trPr>
          <w:trHeight w:val="288"/>
        </w:trPr>
        <w:tc>
          <w:tcPr>
            <w:tcW w:w="3955" w:type="dxa"/>
            <w:vAlign w:val="center"/>
          </w:tcPr>
          <w:p w14:paraId="20656582" w14:textId="69163403"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3</w:t>
            </w:r>
          </w:p>
        </w:tc>
        <w:tc>
          <w:tcPr>
            <w:tcW w:w="1530" w:type="dxa"/>
            <w:vAlign w:val="center"/>
          </w:tcPr>
          <w:p w14:paraId="6CF3F6C7" w14:textId="0984A1B4"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107 (18%)</w:t>
            </w:r>
          </w:p>
        </w:tc>
      </w:tr>
      <w:tr w:rsidR="00F314A2" w14:paraId="70EB2FB2" w14:textId="77777777" w:rsidTr="00260272">
        <w:trPr>
          <w:trHeight w:val="288"/>
        </w:trPr>
        <w:tc>
          <w:tcPr>
            <w:tcW w:w="3955" w:type="dxa"/>
            <w:vAlign w:val="center"/>
          </w:tcPr>
          <w:p w14:paraId="578308FD" w14:textId="1F729A58"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4</w:t>
            </w:r>
          </w:p>
        </w:tc>
        <w:tc>
          <w:tcPr>
            <w:tcW w:w="1530" w:type="dxa"/>
            <w:vAlign w:val="center"/>
          </w:tcPr>
          <w:p w14:paraId="58FCAFA5" w14:textId="56FD5909"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58 (</w:t>
            </w:r>
            <w:r w:rsidR="00BF4935">
              <w:rPr>
                <w:rFonts w:asciiTheme="minorHAnsi" w:hAnsiTheme="minorHAnsi" w:cstheme="minorHAnsi"/>
                <w:sz w:val="18"/>
                <w:szCs w:val="18"/>
              </w:rPr>
              <w:t>10</w:t>
            </w:r>
            <w:r>
              <w:rPr>
                <w:rFonts w:asciiTheme="minorHAnsi" w:hAnsiTheme="minorHAnsi" w:cstheme="minorHAnsi"/>
                <w:sz w:val="18"/>
                <w:szCs w:val="18"/>
              </w:rPr>
              <w:t>%)</w:t>
            </w:r>
          </w:p>
        </w:tc>
      </w:tr>
      <w:tr w:rsidR="00F314A2" w14:paraId="7A546915" w14:textId="77777777" w:rsidTr="00260272">
        <w:trPr>
          <w:trHeight w:val="288"/>
        </w:trPr>
        <w:tc>
          <w:tcPr>
            <w:tcW w:w="3955" w:type="dxa"/>
            <w:vAlign w:val="center"/>
          </w:tcPr>
          <w:p w14:paraId="02E9AF7C" w14:textId="0184BE51"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5</w:t>
            </w:r>
          </w:p>
        </w:tc>
        <w:tc>
          <w:tcPr>
            <w:tcW w:w="1530" w:type="dxa"/>
            <w:vAlign w:val="center"/>
          </w:tcPr>
          <w:p w14:paraId="59FDD800" w14:textId="4AC17C74"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79 (13%)</w:t>
            </w:r>
          </w:p>
        </w:tc>
      </w:tr>
      <w:tr w:rsidR="00F314A2" w14:paraId="3EB9C974" w14:textId="77777777" w:rsidTr="00260272">
        <w:trPr>
          <w:trHeight w:val="288"/>
        </w:trPr>
        <w:tc>
          <w:tcPr>
            <w:tcW w:w="3955" w:type="dxa"/>
            <w:vAlign w:val="center"/>
          </w:tcPr>
          <w:p w14:paraId="1C39B226" w14:textId="1824A853"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Unknown</w:t>
            </w:r>
          </w:p>
        </w:tc>
        <w:tc>
          <w:tcPr>
            <w:tcW w:w="1530" w:type="dxa"/>
            <w:vAlign w:val="center"/>
          </w:tcPr>
          <w:p w14:paraId="6C7424EF" w14:textId="2D73DAC1"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 (</w:t>
            </w:r>
            <w:r w:rsidR="00BF4935">
              <w:rPr>
                <w:rFonts w:asciiTheme="minorHAnsi" w:hAnsiTheme="minorHAnsi" w:cstheme="minorHAnsi"/>
                <w:sz w:val="18"/>
                <w:szCs w:val="18"/>
              </w:rPr>
              <w:t>&lt;1</w:t>
            </w:r>
            <w:r>
              <w:rPr>
                <w:rFonts w:asciiTheme="minorHAnsi" w:hAnsiTheme="minorHAnsi" w:cstheme="minorHAnsi"/>
                <w:sz w:val="18"/>
                <w:szCs w:val="18"/>
              </w:rPr>
              <w:t>%)</w:t>
            </w:r>
          </w:p>
        </w:tc>
      </w:tr>
      <w:tr w:rsidR="001A0AAD" w14:paraId="1DE6F57D" w14:textId="77777777" w:rsidTr="00260272">
        <w:trPr>
          <w:trHeight w:val="288"/>
        </w:trPr>
        <w:tc>
          <w:tcPr>
            <w:tcW w:w="3955" w:type="dxa"/>
            <w:vAlign w:val="center"/>
          </w:tcPr>
          <w:p w14:paraId="785E151C" w14:textId="098A8A23"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PIRADS Score, # (%)</w:t>
            </w:r>
          </w:p>
        </w:tc>
        <w:tc>
          <w:tcPr>
            <w:tcW w:w="1530" w:type="dxa"/>
            <w:vAlign w:val="center"/>
          </w:tcPr>
          <w:p w14:paraId="4C5CC463" w14:textId="77777777" w:rsidR="001A0AAD" w:rsidRPr="00F52A0A" w:rsidRDefault="001A0AAD" w:rsidP="00F314A2">
            <w:pPr>
              <w:pStyle w:val="NoSpacing"/>
              <w:jc w:val="center"/>
              <w:rPr>
                <w:rFonts w:asciiTheme="minorHAnsi" w:hAnsiTheme="minorHAnsi" w:cstheme="minorHAnsi"/>
                <w:sz w:val="18"/>
                <w:szCs w:val="18"/>
              </w:rPr>
            </w:pPr>
          </w:p>
        </w:tc>
      </w:tr>
      <w:tr w:rsidR="001A0AAD" w14:paraId="2EBFEF4A" w14:textId="77777777" w:rsidTr="00260272">
        <w:trPr>
          <w:trHeight w:val="288"/>
        </w:trPr>
        <w:tc>
          <w:tcPr>
            <w:tcW w:w="3955" w:type="dxa"/>
            <w:vAlign w:val="center"/>
          </w:tcPr>
          <w:p w14:paraId="5385E988" w14:textId="683E3EDE"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3</w:t>
            </w:r>
          </w:p>
        </w:tc>
        <w:tc>
          <w:tcPr>
            <w:tcW w:w="1530" w:type="dxa"/>
            <w:vAlign w:val="center"/>
          </w:tcPr>
          <w:p w14:paraId="535CEB69" w14:textId="2B996DA7" w:rsidR="001A0AAD"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40 (</w:t>
            </w:r>
            <w:r w:rsidR="00BF4935">
              <w:rPr>
                <w:rFonts w:asciiTheme="minorHAnsi" w:hAnsiTheme="minorHAnsi" w:cstheme="minorHAnsi"/>
                <w:sz w:val="18"/>
                <w:szCs w:val="18"/>
              </w:rPr>
              <w:t>7</w:t>
            </w:r>
            <w:r>
              <w:rPr>
                <w:rFonts w:asciiTheme="minorHAnsi" w:hAnsiTheme="minorHAnsi" w:cstheme="minorHAnsi"/>
                <w:sz w:val="18"/>
                <w:szCs w:val="18"/>
              </w:rPr>
              <w:t>%)</w:t>
            </w:r>
          </w:p>
        </w:tc>
      </w:tr>
      <w:tr w:rsidR="001A0AAD" w14:paraId="3D14C99F" w14:textId="77777777" w:rsidTr="00260272">
        <w:trPr>
          <w:trHeight w:val="288"/>
        </w:trPr>
        <w:tc>
          <w:tcPr>
            <w:tcW w:w="3955" w:type="dxa"/>
            <w:vAlign w:val="center"/>
          </w:tcPr>
          <w:p w14:paraId="3609DE5C" w14:textId="58EFC5A8"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4</w:t>
            </w:r>
          </w:p>
        </w:tc>
        <w:tc>
          <w:tcPr>
            <w:tcW w:w="1530" w:type="dxa"/>
            <w:vAlign w:val="center"/>
          </w:tcPr>
          <w:p w14:paraId="33A431BC" w14:textId="6963154C" w:rsidR="001A0AAD"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236 (40%)</w:t>
            </w:r>
          </w:p>
        </w:tc>
      </w:tr>
      <w:tr w:rsidR="001A0AAD" w14:paraId="7A04CC0D" w14:textId="77777777" w:rsidTr="00260272">
        <w:trPr>
          <w:trHeight w:val="288"/>
        </w:trPr>
        <w:tc>
          <w:tcPr>
            <w:tcW w:w="3955" w:type="dxa"/>
            <w:vAlign w:val="center"/>
          </w:tcPr>
          <w:p w14:paraId="52B8BFEB" w14:textId="61622310"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5</w:t>
            </w:r>
          </w:p>
        </w:tc>
        <w:tc>
          <w:tcPr>
            <w:tcW w:w="1530" w:type="dxa"/>
            <w:vAlign w:val="center"/>
          </w:tcPr>
          <w:p w14:paraId="14A78778" w14:textId="1CDC2CBA" w:rsidR="001A0AAD"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250 (42%)</w:t>
            </w:r>
          </w:p>
        </w:tc>
      </w:tr>
      <w:tr w:rsidR="001A0AAD" w14:paraId="1424BDB7" w14:textId="77777777" w:rsidTr="00260272">
        <w:trPr>
          <w:trHeight w:val="288"/>
        </w:trPr>
        <w:tc>
          <w:tcPr>
            <w:tcW w:w="3955" w:type="dxa"/>
            <w:vAlign w:val="center"/>
          </w:tcPr>
          <w:p w14:paraId="3152C7F2" w14:textId="7C314FFE"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Not reported </w:t>
            </w:r>
          </w:p>
        </w:tc>
        <w:tc>
          <w:tcPr>
            <w:tcW w:w="1530" w:type="dxa"/>
            <w:vAlign w:val="center"/>
          </w:tcPr>
          <w:p w14:paraId="4FCD5AE4" w14:textId="2099F09B" w:rsidR="001A0AAD"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63 (1</w:t>
            </w:r>
            <w:r w:rsidR="00BF4935">
              <w:rPr>
                <w:rFonts w:asciiTheme="minorHAnsi" w:hAnsiTheme="minorHAnsi" w:cstheme="minorHAnsi"/>
                <w:sz w:val="18"/>
                <w:szCs w:val="18"/>
              </w:rPr>
              <w:t>1</w:t>
            </w:r>
            <w:r>
              <w:rPr>
                <w:rFonts w:asciiTheme="minorHAnsi" w:hAnsiTheme="minorHAnsi" w:cstheme="minorHAnsi"/>
                <w:sz w:val="18"/>
                <w:szCs w:val="18"/>
              </w:rPr>
              <w:t>%)</w:t>
            </w:r>
          </w:p>
        </w:tc>
      </w:tr>
      <w:tr w:rsidR="00F314A2" w14:paraId="5CFCC83F" w14:textId="77777777" w:rsidTr="00260272">
        <w:trPr>
          <w:trHeight w:val="288"/>
        </w:trPr>
        <w:tc>
          <w:tcPr>
            <w:tcW w:w="3955" w:type="dxa"/>
            <w:vAlign w:val="center"/>
          </w:tcPr>
          <w:p w14:paraId="212AFB2C" w14:textId="5469A58A"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Clinical T Stage, # (%)</w:t>
            </w:r>
          </w:p>
        </w:tc>
        <w:tc>
          <w:tcPr>
            <w:tcW w:w="1530" w:type="dxa"/>
            <w:vAlign w:val="center"/>
          </w:tcPr>
          <w:p w14:paraId="08F292F7" w14:textId="59046966" w:rsidR="00F314A2" w:rsidRPr="00F52A0A" w:rsidRDefault="00F314A2" w:rsidP="00F314A2">
            <w:pPr>
              <w:pStyle w:val="NoSpacing"/>
              <w:jc w:val="center"/>
              <w:rPr>
                <w:rFonts w:asciiTheme="minorHAnsi" w:hAnsiTheme="minorHAnsi" w:cstheme="minorHAnsi"/>
                <w:sz w:val="18"/>
                <w:szCs w:val="18"/>
              </w:rPr>
            </w:pPr>
          </w:p>
        </w:tc>
      </w:tr>
      <w:tr w:rsidR="00F314A2" w14:paraId="43458201" w14:textId="77777777" w:rsidTr="00260272">
        <w:trPr>
          <w:trHeight w:val="288"/>
        </w:trPr>
        <w:tc>
          <w:tcPr>
            <w:tcW w:w="3955" w:type="dxa"/>
            <w:vAlign w:val="center"/>
          </w:tcPr>
          <w:p w14:paraId="218CE09A" w14:textId="34018ABF"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T1 </w:t>
            </w:r>
          </w:p>
        </w:tc>
        <w:tc>
          <w:tcPr>
            <w:tcW w:w="1530" w:type="dxa"/>
            <w:vAlign w:val="center"/>
          </w:tcPr>
          <w:p w14:paraId="34913FB3" w14:textId="1F9B09D8"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443 (75%)</w:t>
            </w:r>
          </w:p>
        </w:tc>
      </w:tr>
      <w:tr w:rsidR="00F314A2" w14:paraId="128B102E" w14:textId="77777777" w:rsidTr="00260272">
        <w:trPr>
          <w:trHeight w:val="288"/>
        </w:trPr>
        <w:tc>
          <w:tcPr>
            <w:tcW w:w="3955" w:type="dxa"/>
            <w:vAlign w:val="center"/>
          </w:tcPr>
          <w:p w14:paraId="19D937B4" w14:textId="0BC906C0"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T2</w:t>
            </w:r>
          </w:p>
        </w:tc>
        <w:tc>
          <w:tcPr>
            <w:tcW w:w="1530" w:type="dxa"/>
            <w:vAlign w:val="center"/>
          </w:tcPr>
          <w:p w14:paraId="3D3AC457" w14:textId="0FBB9372"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115 (</w:t>
            </w:r>
            <w:r w:rsidR="00BF4935">
              <w:rPr>
                <w:rFonts w:asciiTheme="minorHAnsi" w:hAnsiTheme="minorHAnsi" w:cstheme="minorHAnsi"/>
                <w:sz w:val="18"/>
                <w:szCs w:val="18"/>
              </w:rPr>
              <w:t>20</w:t>
            </w:r>
            <w:r>
              <w:rPr>
                <w:rFonts w:asciiTheme="minorHAnsi" w:hAnsiTheme="minorHAnsi" w:cstheme="minorHAnsi"/>
                <w:sz w:val="18"/>
                <w:szCs w:val="18"/>
              </w:rPr>
              <w:t>%)</w:t>
            </w:r>
          </w:p>
        </w:tc>
      </w:tr>
      <w:tr w:rsidR="00F314A2" w14:paraId="2015079F" w14:textId="77777777" w:rsidTr="00260272">
        <w:trPr>
          <w:trHeight w:val="288"/>
        </w:trPr>
        <w:tc>
          <w:tcPr>
            <w:tcW w:w="3955" w:type="dxa"/>
            <w:vAlign w:val="center"/>
          </w:tcPr>
          <w:p w14:paraId="48415D28" w14:textId="74AE74F7"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T3</w:t>
            </w:r>
          </w:p>
        </w:tc>
        <w:tc>
          <w:tcPr>
            <w:tcW w:w="1530" w:type="dxa"/>
            <w:vAlign w:val="center"/>
          </w:tcPr>
          <w:p w14:paraId="0E9FB5FB" w14:textId="64DCBFB8"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8 (1%)</w:t>
            </w:r>
          </w:p>
        </w:tc>
      </w:tr>
      <w:tr w:rsidR="00F314A2" w14:paraId="33991891" w14:textId="77777777" w:rsidTr="00260272">
        <w:trPr>
          <w:trHeight w:val="288"/>
        </w:trPr>
        <w:tc>
          <w:tcPr>
            <w:tcW w:w="3955" w:type="dxa"/>
            <w:vAlign w:val="center"/>
          </w:tcPr>
          <w:p w14:paraId="377C7C97" w14:textId="6EC45FCD"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Unknown</w:t>
            </w:r>
          </w:p>
        </w:tc>
        <w:tc>
          <w:tcPr>
            <w:tcW w:w="1530" w:type="dxa"/>
            <w:vAlign w:val="center"/>
          </w:tcPr>
          <w:p w14:paraId="3DC46D12" w14:textId="16EB9DAC"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23 (</w:t>
            </w:r>
            <w:r w:rsidR="00BF4935">
              <w:rPr>
                <w:rFonts w:asciiTheme="minorHAnsi" w:hAnsiTheme="minorHAnsi" w:cstheme="minorHAnsi"/>
                <w:sz w:val="18"/>
                <w:szCs w:val="18"/>
              </w:rPr>
              <w:t>4</w:t>
            </w:r>
            <w:r>
              <w:rPr>
                <w:rFonts w:asciiTheme="minorHAnsi" w:hAnsiTheme="minorHAnsi" w:cstheme="minorHAnsi"/>
                <w:sz w:val="18"/>
                <w:szCs w:val="18"/>
              </w:rPr>
              <w:t>%)</w:t>
            </w:r>
          </w:p>
        </w:tc>
      </w:tr>
      <w:tr w:rsidR="00F314A2" w14:paraId="0E2C6501" w14:textId="77777777" w:rsidTr="00260272">
        <w:trPr>
          <w:trHeight w:val="288"/>
        </w:trPr>
        <w:tc>
          <w:tcPr>
            <w:tcW w:w="3955" w:type="dxa"/>
            <w:vAlign w:val="center"/>
          </w:tcPr>
          <w:p w14:paraId="2CBBA0BB" w14:textId="6603909B"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D’Amico Risk Group, # (%)</w:t>
            </w:r>
          </w:p>
        </w:tc>
        <w:tc>
          <w:tcPr>
            <w:tcW w:w="1530" w:type="dxa"/>
            <w:vAlign w:val="center"/>
          </w:tcPr>
          <w:p w14:paraId="3511FD3A" w14:textId="7340176C" w:rsidR="00F314A2" w:rsidRPr="00F52A0A" w:rsidRDefault="00F314A2" w:rsidP="00F314A2">
            <w:pPr>
              <w:pStyle w:val="NoSpacing"/>
              <w:jc w:val="center"/>
              <w:rPr>
                <w:rFonts w:asciiTheme="minorHAnsi" w:hAnsiTheme="minorHAnsi" w:cstheme="minorHAnsi"/>
                <w:sz w:val="18"/>
                <w:szCs w:val="18"/>
              </w:rPr>
            </w:pPr>
          </w:p>
        </w:tc>
      </w:tr>
      <w:tr w:rsidR="00F314A2" w14:paraId="6CFCCE8D" w14:textId="77777777" w:rsidTr="00260272">
        <w:trPr>
          <w:trHeight w:val="288"/>
        </w:trPr>
        <w:tc>
          <w:tcPr>
            <w:tcW w:w="3955" w:type="dxa"/>
            <w:vAlign w:val="center"/>
          </w:tcPr>
          <w:p w14:paraId="15F7D64C" w14:textId="67810676"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Low </w:t>
            </w:r>
          </w:p>
        </w:tc>
        <w:tc>
          <w:tcPr>
            <w:tcW w:w="1530" w:type="dxa"/>
            <w:vAlign w:val="center"/>
          </w:tcPr>
          <w:p w14:paraId="5FE4F0F5" w14:textId="43D7DFBA"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102 (17%)</w:t>
            </w:r>
          </w:p>
        </w:tc>
      </w:tr>
      <w:tr w:rsidR="00F314A2" w14:paraId="6C68FA2E" w14:textId="77777777" w:rsidTr="00260272">
        <w:trPr>
          <w:trHeight w:val="288"/>
        </w:trPr>
        <w:tc>
          <w:tcPr>
            <w:tcW w:w="3955" w:type="dxa"/>
            <w:vAlign w:val="center"/>
          </w:tcPr>
          <w:p w14:paraId="346463DE" w14:textId="5B931221"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Intermediate</w:t>
            </w:r>
          </w:p>
        </w:tc>
        <w:tc>
          <w:tcPr>
            <w:tcW w:w="1530" w:type="dxa"/>
            <w:vAlign w:val="center"/>
          </w:tcPr>
          <w:p w14:paraId="0A57FBF1" w14:textId="3714AC03"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305 (5</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132FBCC9" w14:textId="77777777" w:rsidTr="00260272">
        <w:trPr>
          <w:trHeight w:val="288"/>
        </w:trPr>
        <w:tc>
          <w:tcPr>
            <w:tcW w:w="3955" w:type="dxa"/>
            <w:vAlign w:val="center"/>
          </w:tcPr>
          <w:p w14:paraId="54C443EC" w14:textId="402CEC3A"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High</w:t>
            </w:r>
          </w:p>
        </w:tc>
        <w:tc>
          <w:tcPr>
            <w:tcW w:w="1530" w:type="dxa"/>
            <w:vAlign w:val="center"/>
          </w:tcPr>
          <w:p w14:paraId="086E86A2" w14:textId="1EDFD906"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168 (2</w:t>
            </w:r>
            <w:r w:rsidR="00BF4935">
              <w:rPr>
                <w:rFonts w:asciiTheme="minorHAnsi" w:hAnsiTheme="minorHAnsi" w:cstheme="minorHAnsi"/>
                <w:sz w:val="18"/>
                <w:szCs w:val="18"/>
              </w:rPr>
              <w:t>9</w:t>
            </w:r>
            <w:r>
              <w:rPr>
                <w:rFonts w:asciiTheme="minorHAnsi" w:hAnsiTheme="minorHAnsi" w:cstheme="minorHAnsi"/>
                <w:sz w:val="18"/>
                <w:szCs w:val="18"/>
              </w:rPr>
              <w:t>%)</w:t>
            </w:r>
          </w:p>
        </w:tc>
      </w:tr>
      <w:tr w:rsidR="00F314A2" w14:paraId="7524A008" w14:textId="77777777" w:rsidTr="00260272">
        <w:trPr>
          <w:trHeight w:val="288"/>
        </w:trPr>
        <w:tc>
          <w:tcPr>
            <w:tcW w:w="3955" w:type="dxa"/>
            <w:vAlign w:val="center"/>
          </w:tcPr>
          <w:p w14:paraId="7C9F9992" w14:textId="1232C442"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Unknown</w:t>
            </w:r>
          </w:p>
        </w:tc>
        <w:tc>
          <w:tcPr>
            <w:tcW w:w="1530" w:type="dxa"/>
            <w:vAlign w:val="center"/>
          </w:tcPr>
          <w:p w14:paraId="11D3605E" w14:textId="602F81BF"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14 (2%)</w:t>
            </w:r>
          </w:p>
        </w:tc>
      </w:tr>
      <w:tr w:rsidR="00F314A2" w14:paraId="5144384D" w14:textId="77777777" w:rsidTr="00260272">
        <w:trPr>
          <w:trHeight w:val="288"/>
        </w:trPr>
        <w:tc>
          <w:tcPr>
            <w:tcW w:w="3955" w:type="dxa"/>
            <w:vAlign w:val="center"/>
          </w:tcPr>
          <w:p w14:paraId="48FAC83A" w14:textId="2236DDEC"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Procedure Year, # (%)</w:t>
            </w:r>
          </w:p>
        </w:tc>
        <w:tc>
          <w:tcPr>
            <w:tcW w:w="1530" w:type="dxa"/>
            <w:vAlign w:val="center"/>
          </w:tcPr>
          <w:p w14:paraId="57E041AC" w14:textId="77777777" w:rsidR="00F314A2" w:rsidRDefault="00F314A2" w:rsidP="00F314A2">
            <w:pPr>
              <w:pStyle w:val="NoSpacing"/>
              <w:jc w:val="center"/>
              <w:rPr>
                <w:rFonts w:asciiTheme="minorHAnsi" w:hAnsiTheme="minorHAnsi" w:cstheme="minorHAnsi"/>
                <w:sz w:val="18"/>
                <w:szCs w:val="18"/>
              </w:rPr>
            </w:pPr>
          </w:p>
        </w:tc>
      </w:tr>
      <w:tr w:rsidR="00F314A2" w14:paraId="1C5DC790" w14:textId="77777777" w:rsidTr="00260272">
        <w:trPr>
          <w:trHeight w:val="288"/>
        </w:trPr>
        <w:tc>
          <w:tcPr>
            <w:tcW w:w="3955" w:type="dxa"/>
            <w:vAlign w:val="center"/>
          </w:tcPr>
          <w:p w14:paraId="4D49A253" w14:textId="13057D9E"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2015</w:t>
            </w:r>
          </w:p>
        </w:tc>
        <w:tc>
          <w:tcPr>
            <w:tcW w:w="1530" w:type="dxa"/>
            <w:vAlign w:val="center"/>
          </w:tcPr>
          <w:p w14:paraId="1CE51B87" w14:textId="0C89BFC0"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16 (</w:t>
            </w:r>
            <w:r w:rsidR="00BF4935">
              <w:rPr>
                <w:rFonts w:asciiTheme="minorHAnsi" w:hAnsiTheme="minorHAnsi" w:cstheme="minorHAnsi"/>
                <w:sz w:val="18"/>
                <w:szCs w:val="18"/>
              </w:rPr>
              <w:t>3</w:t>
            </w:r>
            <w:r>
              <w:rPr>
                <w:rFonts w:asciiTheme="minorHAnsi" w:hAnsiTheme="minorHAnsi" w:cstheme="minorHAnsi"/>
                <w:sz w:val="18"/>
                <w:szCs w:val="18"/>
              </w:rPr>
              <w:t>%)</w:t>
            </w:r>
          </w:p>
        </w:tc>
      </w:tr>
      <w:tr w:rsidR="00F314A2" w14:paraId="1620887A" w14:textId="77777777" w:rsidTr="00260272">
        <w:trPr>
          <w:trHeight w:val="288"/>
        </w:trPr>
        <w:tc>
          <w:tcPr>
            <w:tcW w:w="3955" w:type="dxa"/>
            <w:vAlign w:val="center"/>
          </w:tcPr>
          <w:p w14:paraId="3C1DAC7D" w14:textId="2B706CAA"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lastRenderedPageBreak/>
              <w:t xml:space="preserve">        2016</w:t>
            </w:r>
          </w:p>
        </w:tc>
        <w:tc>
          <w:tcPr>
            <w:tcW w:w="1530" w:type="dxa"/>
            <w:vAlign w:val="center"/>
          </w:tcPr>
          <w:p w14:paraId="596F190A" w14:textId="6AEAA763"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100 (1</w:t>
            </w:r>
            <w:r w:rsidR="00BF4935">
              <w:rPr>
                <w:rFonts w:asciiTheme="minorHAnsi" w:hAnsiTheme="minorHAnsi" w:cstheme="minorHAnsi"/>
                <w:sz w:val="18"/>
                <w:szCs w:val="18"/>
              </w:rPr>
              <w:t>7</w:t>
            </w:r>
            <w:r>
              <w:rPr>
                <w:rFonts w:asciiTheme="minorHAnsi" w:hAnsiTheme="minorHAnsi" w:cstheme="minorHAnsi"/>
                <w:sz w:val="18"/>
                <w:szCs w:val="18"/>
              </w:rPr>
              <w:t>%)</w:t>
            </w:r>
          </w:p>
        </w:tc>
      </w:tr>
      <w:tr w:rsidR="00F314A2" w14:paraId="760EC314" w14:textId="77777777" w:rsidTr="00260272">
        <w:trPr>
          <w:trHeight w:val="288"/>
        </w:trPr>
        <w:tc>
          <w:tcPr>
            <w:tcW w:w="3955" w:type="dxa"/>
            <w:vAlign w:val="center"/>
          </w:tcPr>
          <w:p w14:paraId="4557B196" w14:textId="1B0860A5"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2017</w:t>
            </w:r>
          </w:p>
        </w:tc>
        <w:tc>
          <w:tcPr>
            <w:tcW w:w="1530" w:type="dxa"/>
            <w:vAlign w:val="center"/>
          </w:tcPr>
          <w:p w14:paraId="5044AF88" w14:textId="5A4630CA"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143 (24%)</w:t>
            </w:r>
          </w:p>
        </w:tc>
      </w:tr>
      <w:tr w:rsidR="00F314A2" w14:paraId="3CAE30E6" w14:textId="77777777" w:rsidTr="00260272">
        <w:trPr>
          <w:trHeight w:val="288"/>
        </w:trPr>
        <w:tc>
          <w:tcPr>
            <w:tcW w:w="3955" w:type="dxa"/>
            <w:vAlign w:val="center"/>
          </w:tcPr>
          <w:p w14:paraId="365B102F" w14:textId="15D8A177"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2018</w:t>
            </w:r>
          </w:p>
        </w:tc>
        <w:tc>
          <w:tcPr>
            <w:tcW w:w="1530" w:type="dxa"/>
            <w:vAlign w:val="center"/>
          </w:tcPr>
          <w:p w14:paraId="5E88AEFE" w14:textId="140FB8AC"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203 (3</w:t>
            </w:r>
            <w:r w:rsidR="00BF4935">
              <w:rPr>
                <w:rFonts w:asciiTheme="minorHAnsi" w:hAnsiTheme="minorHAnsi" w:cstheme="minorHAnsi"/>
                <w:sz w:val="18"/>
                <w:szCs w:val="18"/>
              </w:rPr>
              <w:t>4</w:t>
            </w:r>
            <w:r>
              <w:rPr>
                <w:rFonts w:asciiTheme="minorHAnsi" w:hAnsiTheme="minorHAnsi" w:cstheme="minorHAnsi"/>
                <w:sz w:val="18"/>
                <w:szCs w:val="18"/>
              </w:rPr>
              <w:t>%)</w:t>
            </w:r>
          </w:p>
        </w:tc>
      </w:tr>
      <w:tr w:rsidR="00F314A2" w14:paraId="123DD43B" w14:textId="77777777" w:rsidTr="00260272">
        <w:trPr>
          <w:trHeight w:val="288"/>
        </w:trPr>
        <w:tc>
          <w:tcPr>
            <w:tcW w:w="3955" w:type="dxa"/>
            <w:vAlign w:val="center"/>
          </w:tcPr>
          <w:p w14:paraId="233AAC99" w14:textId="50710638"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2019</w:t>
            </w:r>
          </w:p>
        </w:tc>
        <w:tc>
          <w:tcPr>
            <w:tcW w:w="1530" w:type="dxa"/>
            <w:vAlign w:val="center"/>
          </w:tcPr>
          <w:p w14:paraId="1CFC3304" w14:textId="78579CA3"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127 (2</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1E34E333" w14:textId="77777777" w:rsidTr="00260272">
        <w:trPr>
          <w:trHeight w:val="288"/>
        </w:trPr>
        <w:tc>
          <w:tcPr>
            <w:tcW w:w="3955" w:type="dxa"/>
            <w:vAlign w:val="center"/>
          </w:tcPr>
          <w:p w14:paraId="0A6F4558" w14:textId="2044483F"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Nerve Sparing Procedure, # (%)</w:t>
            </w:r>
          </w:p>
        </w:tc>
        <w:tc>
          <w:tcPr>
            <w:tcW w:w="1530" w:type="dxa"/>
            <w:vAlign w:val="center"/>
          </w:tcPr>
          <w:p w14:paraId="69C3F903" w14:textId="77777777" w:rsidR="00F314A2" w:rsidRPr="00F52A0A" w:rsidRDefault="00F314A2" w:rsidP="00F314A2">
            <w:pPr>
              <w:pStyle w:val="NoSpacing"/>
              <w:jc w:val="center"/>
              <w:rPr>
                <w:rFonts w:asciiTheme="minorHAnsi" w:hAnsiTheme="minorHAnsi" w:cstheme="minorHAnsi"/>
                <w:sz w:val="18"/>
                <w:szCs w:val="18"/>
              </w:rPr>
            </w:pPr>
          </w:p>
        </w:tc>
      </w:tr>
      <w:tr w:rsidR="00F314A2" w14:paraId="330BB920" w14:textId="77777777" w:rsidTr="00260272">
        <w:trPr>
          <w:trHeight w:val="288"/>
        </w:trPr>
        <w:tc>
          <w:tcPr>
            <w:tcW w:w="3955" w:type="dxa"/>
            <w:vAlign w:val="center"/>
          </w:tcPr>
          <w:p w14:paraId="66ED4927" w14:textId="0345ED13"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None</w:t>
            </w:r>
          </w:p>
        </w:tc>
        <w:tc>
          <w:tcPr>
            <w:tcW w:w="1530" w:type="dxa"/>
            <w:vAlign w:val="center"/>
          </w:tcPr>
          <w:p w14:paraId="381C5C3F" w14:textId="47365F57"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44 (</w:t>
            </w:r>
            <w:r w:rsidR="00BF4935">
              <w:rPr>
                <w:rFonts w:asciiTheme="minorHAnsi" w:hAnsiTheme="minorHAnsi" w:cstheme="minorHAnsi"/>
                <w:sz w:val="18"/>
                <w:szCs w:val="18"/>
              </w:rPr>
              <w:t>7</w:t>
            </w:r>
            <w:r>
              <w:rPr>
                <w:rFonts w:asciiTheme="minorHAnsi" w:hAnsiTheme="minorHAnsi" w:cstheme="minorHAnsi"/>
                <w:sz w:val="18"/>
                <w:szCs w:val="18"/>
              </w:rPr>
              <w:t>%)</w:t>
            </w:r>
          </w:p>
        </w:tc>
      </w:tr>
      <w:tr w:rsidR="00F314A2" w14:paraId="60E52D1D" w14:textId="77777777" w:rsidTr="00260272">
        <w:trPr>
          <w:trHeight w:val="288"/>
        </w:trPr>
        <w:tc>
          <w:tcPr>
            <w:tcW w:w="3955" w:type="dxa"/>
            <w:vAlign w:val="center"/>
          </w:tcPr>
          <w:p w14:paraId="3044EDF2" w14:textId="4AA227E3" w:rsidR="00F314A2" w:rsidRPr="00F52A0A"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Unilateral</w:t>
            </w:r>
          </w:p>
        </w:tc>
        <w:tc>
          <w:tcPr>
            <w:tcW w:w="1530" w:type="dxa"/>
            <w:vAlign w:val="center"/>
          </w:tcPr>
          <w:p w14:paraId="5F692CB6" w14:textId="2E7B4271"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46 (</w:t>
            </w:r>
            <w:r w:rsidR="00BF4935">
              <w:rPr>
                <w:rFonts w:asciiTheme="minorHAnsi" w:hAnsiTheme="minorHAnsi" w:cstheme="minorHAnsi"/>
                <w:sz w:val="18"/>
                <w:szCs w:val="18"/>
              </w:rPr>
              <w:t>8</w:t>
            </w:r>
            <w:r>
              <w:rPr>
                <w:rFonts w:asciiTheme="minorHAnsi" w:hAnsiTheme="minorHAnsi" w:cstheme="minorHAnsi"/>
                <w:sz w:val="18"/>
                <w:szCs w:val="18"/>
              </w:rPr>
              <w:t>%)</w:t>
            </w:r>
          </w:p>
        </w:tc>
      </w:tr>
      <w:tr w:rsidR="00F314A2" w14:paraId="2933F4A7" w14:textId="77777777" w:rsidTr="00260272">
        <w:trPr>
          <w:trHeight w:val="288"/>
        </w:trPr>
        <w:tc>
          <w:tcPr>
            <w:tcW w:w="3955" w:type="dxa"/>
            <w:vAlign w:val="center"/>
          </w:tcPr>
          <w:p w14:paraId="1195AF2B" w14:textId="3756AB47"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Bilateral</w:t>
            </w:r>
          </w:p>
        </w:tc>
        <w:tc>
          <w:tcPr>
            <w:tcW w:w="1530" w:type="dxa"/>
            <w:vAlign w:val="center"/>
          </w:tcPr>
          <w:p w14:paraId="366DB134" w14:textId="1C935D9E"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490 (83%)</w:t>
            </w:r>
          </w:p>
        </w:tc>
      </w:tr>
      <w:tr w:rsidR="00F314A2" w14:paraId="76A3246E" w14:textId="77777777" w:rsidTr="00260272">
        <w:trPr>
          <w:trHeight w:val="288"/>
        </w:trPr>
        <w:tc>
          <w:tcPr>
            <w:tcW w:w="3955" w:type="dxa"/>
            <w:vAlign w:val="center"/>
          </w:tcPr>
          <w:p w14:paraId="7E808534" w14:textId="6C0DBB96"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Not reported </w:t>
            </w:r>
          </w:p>
        </w:tc>
        <w:tc>
          <w:tcPr>
            <w:tcW w:w="1530" w:type="dxa"/>
            <w:vAlign w:val="center"/>
          </w:tcPr>
          <w:p w14:paraId="23831401" w14:textId="321F723B" w:rsidR="00F314A2"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9 (</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6F3A4D79" w14:textId="77777777" w:rsidTr="00260272">
        <w:trPr>
          <w:trHeight w:val="288"/>
        </w:trPr>
        <w:tc>
          <w:tcPr>
            <w:tcW w:w="3955" w:type="dxa"/>
            <w:vAlign w:val="center"/>
          </w:tcPr>
          <w:p w14:paraId="561196E4" w14:textId="687E700B"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Pelvic Lymph Node Dissection, # (%)</w:t>
            </w:r>
          </w:p>
        </w:tc>
        <w:tc>
          <w:tcPr>
            <w:tcW w:w="1530" w:type="dxa"/>
            <w:vAlign w:val="center"/>
          </w:tcPr>
          <w:p w14:paraId="7BD681B1" w14:textId="77777777" w:rsidR="00F314A2" w:rsidRPr="00F52A0A" w:rsidRDefault="00F314A2" w:rsidP="00F314A2">
            <w:pPr>
              <w:pStyle w:val="NoSpacing"/>
              <w:jc w:val="center"/>
              <w:rPr>
                <w:rFonts w:asciiTheme="minorHAnsi" w:hAnsiTheme="minorHAnsi" w:cstheme="minorHAnsi"/>
                <w:sz w:val="18"/>
                <w:szCs w:val="18"/>
              </w:rPr>
            </w:pPr>
          </w:p>
        </w:tc>
      </w:tr>
      <w:tr w:rsidR="00F314A2" w14:paraId="3EA91531" w14:textId="77777777" w:rsidTr="00260272">
        <w:trPr>
          <w:trHeight w:val="288"/>
        </w:trPr>
        <w:tc>
          <w:tcPr>
            <w:tcW w:w="3955" w:type="dxa"/>
            <w:vAlign w:val="center"/>
          </w:tcPr>
          <w:p w14:paraId="12AE5D5F" w14:textId="2888FAE4"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None</w:t>
            </w:r>
          </w:p>
        </w:tc>
        <w:tc>
          <w:tcPr>
            <w:tcW w:w="1530" w:type="dxa"/>
            <w:vAlign w:val="center"/>
          </w:tcPr>
          <w:p w14:paraId="4640CA98" w14:textId="37BACFBA"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24 (4%)</w:t>
            </w:r>
          </w:p>
        </w:tc>
      </w:tr>
      <w:tr w:rsidR="00F314A2" w14:paraId="2E47BF5A" w14:textId="77777777" w:rsidTr="00260272">
        <w:trPr>
          <w:trHeight w:val="288"/>
        </w:trPr>
        <w:tc>
          <w:tcPr>
            <w:tcW w:w="3955" w:type="dxa"/>
            <w:vAlign w:val="center"/>
          </w:tcPr>
          <w:p w14:paraId="13FC7821" w14:textId="7B55EE71"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Unilateral </w:t>
            </w:r>
          </w:p>
        </w:tc>
        <w:tc>
          <w:tcPr>
            <w:tcW w:w="1530" w:type="dxa"/>
            <w:vAlign w:val="center"/>
          </w:tcPr>
          <w:p w14:paraId="5799470E" w14:textId="2289C20F"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207 (35%)</w:t>
            </w:r>
          </w:p>
        </w:tc>
      </w:tr>
      <w:tr w:rsidR="00F314A2" w14:paraId="7E16B5D4" w14:textId="77777777" w:rsidTr="00260272">
        <w:trPr>
          <w:trHeight w:val="288"/>
        </w:trPr>
        <w:tc>
          <w:tcPr>
            <w:tcW w:w="3955" w:type="dxa"/>
            <w:vAlign w:val="center"/>
          </w:tcPr>
          <w:p w14:paraId="174BCEE8" w14:textId="6A8CA0EB"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Bilateral </w:t>
            </w:r>
          </w:p>
        </w:tc>
        <w:tc>
          <w:tcPr>
            <w:tcW w:w="1530" w:type="dxa"/>
            <w:vAlign w:val="center"/>
          </w:tcPr>
          <w:p w14:paraId="524D6489" w14:textId="3B0CADD1"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355 (60%)</w:t>
            </w:r>
          </w:p>
        </w:tc>
      </w:tr>
      <w:tr w:rsidR="00F314A2" w14:paraId="1B543D07" w14:textId="77777777" w:rsidTr="00260272">
        <w:trPr>
          <w:trHeight w:val="288"/>
        </w:trPr>
        <w:tc>
          <w:tcPr>
            <w:tcW w:w="3955" w:type="dxa"/>
            <w:vAlign w:val="center"/>
          </w:tcPr>
          <w:p w14:paraId="35190C5F" w14:textId="7B15C2FD"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Not reported </w:t>
            </w:r>
          </w:p>
        </w:tc>
        <w:tc>
          <w:tcPr>
            <w:tcW w:w="1530" w:type="dxa"/>
            <w:vAlign w:val="center"/>
          </w:tcPr>
          <w:p w14:paraId="1CFC6FA8" w14:textId="640ABA42"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3 (</w:t>
            </w:r>
            <w:r w:rsidR="00BF4935">
              <w:rPr>
                <w:rFonts w:asciiTheme="minorHAnsi" w:hAnsiTheme="minorHAnsi" w:cstheme="minorHAnsi"/>
                <w:sz w:val="18"/>
                <w:szCs w:val="18"/>
              </w:rPr>
              <w:t>&lt;1</w:t>
            </w:r>
            <w:r>
              <w:rPr>
                <w:rFonts w:asciiTheme="minorHAnsi" w:hAnsiTheme="minorHAnsi" w:cstheme="minorHAnsi"/>
                <w:sz w:val="18"/>
                <w:szCs w:val="18"/>
              </w:rPr>
              <w:t>%)</w:t>
            </w:r>
          </w:p>
        </w:tc>
      </w:tr>
      <w:tr w:rsidR="00F314A2" w14:paraId="4AFFBC69" w14:textId="77777777" w:rsidTr="00260272">
        <w:trPr>
          <w:trHeight w:val="288"/>
        </w:trPr>
        <w:tc>
          <w:tcPr>
            <w:tcW w:w="3955" w:type="dxa"/>
            <w:vAlign w:val="center"/>
          </w:tcPr>
          <w:p w14:paraId="35421413" w14:textId="337D386B"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Pathologic N Stage, # (%)</w:t>
            </w:r>
          </w:p>
        </w:tc>
        <w:tc>
          <w:tcPr>
            <w:tcW w:w="1530" w:type="dxa"/>
            <w:vAlign w:val="center"/>
          </w:tcPr>
          <w:p w14:paraId="4308FDDC" w14:textId="77777777" w:rsidR="00F314A2" w:rsidRPr="00F52A0A" w:rsidRDefault="00F314A2" w:rsidP="00F314A2">
            <w:pPr>
              <w:pStyle w:val="NoSpacing"/>
              <w:jc w:val="center"/>
              <w:rPr>
                <w:rFonts w:asciiTheme="minorHAnsi" w:hAnsiTheme="minorHAnsi" w:cstheme="minorHAnsi"/>
                <w:sz w:val="18"/>
                <w:szCs w:val="18"/>
              </w:rPr>
            </w:pPr>
          </w:p>
        </w:tc>
      </w:tr>
      <w:tr w:rsidR="00F314A2" w14:paraId="4265572C" w14:textId="77777777" w:rsidTr="00260272">
        <w:trPr>
          <w:trHeight w:val="288"/>
        </w:trPr>
        <w:tc>
          <w:tcPr>
            <w:tcW w:w="3955" w:type="dxa"/>
            <w:vAlign w:val="center"/>
          </w:tcPr>
          <w:p w14:paraId="59FA6824" w14:textId="730AEFE5"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N0 </w:t>
            </w:r>
          </w:p>
        </w:tc>
        <w:tc>
          <w:tcPr>
            <w:tcW w:w="1530" w:type="dxa"/>
            <w:vAlign w:val="center"/>
          </w:tcPr>
          <w:p w14:paraId="767A06D7" w14:textId="6270C5CC"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540 (9</w:t>
            </w:r>
            <w:r w:rsidR="00BF4935">
              <w:rPr>
                <w:rFonts w:asciiTheme="minorHAnsi" w:hAnsiTheme="minorHAnsi" w:cstheme="minorHAnsi"/>
                <w:sz w:val="18"/>
                <w:szCs w:val="18"/>
              </w:rPr>
              <w:t>2</w:t>
            </w:r>
            <w:r>
              <w:rPr>
                <w:rFonts w:asciiTheme="minorHAnsi" w:hAnsiTheme="minorHAnsi" w:cstheme="minorHAnsi"/>
                <w:sz w:val="18"/>
                <w:szCs w:val="18"/>
              </w:rPr>
              <w:t>%)</w:t>
            </w:r>
          </w:p>
        </w:tc>
      </w:tr>
      <w:tr w:rsidR="00F314A2" w14:paraId="056257E4" w14:textId="77777777" w:rsidTr="00260272">
        <w:trPr>
          <w:trHeight w:val="288"/>
        </w:trPr>
        <w:tc>
          <w:tcPr>
            <w:tcW w:w="3955" w:type="dxa"/>
            <w:vAlign w:val="center"/>
          </w:tcPr>
          <w:p w14:paraId="551638A4" w14:textId="3179F230"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N1 </w:t>
            </w:r>
          </w:p>
        </w:tc>
        <w:tc>
          <w:tcPr>
            <w:tcW w:w="1530" w:type="dxa"/>
            <w:vAlign w:val="center"/>
          </w:tcPr>
          <w:p w14:paraId="5087D0CE" w14:textId="27D4CE19"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27 (</w:t>
            </w:r>
            <w:r w:rsidR="00BF4935">
              <w:rPr>
                <w:rFonts w:asciiTheme="minorHAnsi" w:hAnsiTheme="minorHAnsi" w:cstheme="minorHAnsi"/>
                <w:sz w:val="18"/>
                <w:szCs w:val="18"/>
              </w:rPr>
              <w:t>5</w:t>
            </w:r>
            <w:r>
              <w:rPr>
                <w:rFonts w:asciiTheme="minorHAnsi" w:hAnsiTheme="minorHAnsi" w:cstheme="minorHAnsi"/>
                <w:sz w:val="18"/>
                <w:szCs w:val="18"/>
              </w:rPr>
              <w:t>%)</w:t>
            </w:r>
          </w:p>
        </w:tc>
      </w:tr>
      <w:tr w:rsidR="00F314A2" w14:paraId="2215882E" w14:textId="77777777" w:rsidTr="00260272">
        <w:trPr>
          <w:trHeight w:val="288"/>
        </w:trPr>
        <w:tc>
          <w:tcPr>
            <w:tcW w:w="3955" w:type="dxa"/>
            <w:vAlign w:val="center"/>
          </w:tcPr>
          <w:p w14:paraId="7D0860EC" w14:textId="4B5C0F3F"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Not applicable/Unknown</w:t>
            </w:r>
          </w:p>
        </w:tc>
        <w:tc>
          <w:tcPr>
            <w:tcW w:w="1530" w:type="dxa"/>
            <w:vAlign w:val="center"/>
          </w:tcPr>
          <w:p w14:paraId="457B310D" w14:textId="283AB393" w:rsidR="00F314A2" w:rsidRPr="00F52A0A" w:rsidRDefault="00F314A2" w:rsidP="00F314A2">
            <w:pPr>
              <w:pStyle w:val="NoSpacing"/>
              <w:jc w:val="center"/>
              <w:rPr>
                <w:rFonts w:asciiTheme="minorHAnsi" w:hAnsiTheme="minorHAnsi" w:cstheme="minorHAnsi"/>
                <w:sz w:val="18"/>
                <w:szCs w:val="18"/>
              </w:rPr>
            </w:pPr>
            <w:r>
              <w:rPr>
                <w:rFonts w:asciiTheme="minorHAnsi" w:hAnsiTheme="minorHAnsi" w:cstheme="minorHAnsi"/>
                <w:sz w:val="18"/>
                <w:szCs w:val="18"/>
              </w:rPr>
              <w:t>22 (</w:t>
            </w:r>
            <w:r w:rsidR="00BF4935">
              <w:rPr>
                <w:rFonts w:asciiTheme="minorHAnsi" w:hAnsiTheme="minorHAnsi" w:cstheme="minorHAnsi"/>
                <w:sz w:val="18"/>
                <w:szCs w:val="18"/>
              </w:rPr>
              <w:t>4</w:t>
            </w:r>
            <w:r>
              <w:rPr>
                <w:rFonts w:asciiTheme="minorHAnsi" w:hAnsiTheme="minorHAnsi" w:cstheme="minorHAnsi"/>
                <w:sz w:val="18"/>
                <w:szCs w:val="18"/>
              </w:rPr>
              <w:t>%)</w:t>
            </w:r>
          </w:p>
        </w:tc>
      </w:tr>
      <w:tr w:rsidR="00F314A2" w14:paraId="531A058B" w14:textId="77777777" w:rsidTr="00260272">
        <w:trPr>
          <w:trHeight w:val="288"/>
        </w:trPr>
        <w:tc>
          <w:tcPr>
            <w:tcW w:w="3955" w:type="dxa"/>
            <w:vAlign w:val="center"/>
          </w:tcPr>
          <w:p w14:paraId="5A8CD00A" w14:textId="0556D5E0"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Extra-prostatic extension, # (%) </w:t>
            </w:r>
          </w:p>
        </w:tc>
        <w:tc>
          <w:tcPr>
            <w:tcW w:w="1530" w:type="dxa"/>
            <w:vAlign w:val="center"/>
          </w:tcPr>
          <w:p w14:paraId="67160711" w14:textId="77777777" w:rsidR="00F314A2" w:rsidRPr="00F52A0A" w:rsidRDefault="00F314A2" w:rsidP="00F314A2">
            <w:pPr>
              <w:pStyle w:val="NoSpacing"/>
              <w:jc w:val="center"/>
              <w:rPr>
                <w:rFonts w:asciiTheme="minorHAnsi" w:hAnsiTheme="minorHAnsi" w:cstheme="minorHAnsi"/>
                <w:sz w:val="18"/>
                <w:szCs w:val="18"/>
              </w:rPr>
            </w:pPr>
          </w:p>
        </w:tc>
      </w:tr>
      <w:tr w:rsidR="00F314A2" w14:paraId="73A09FAB" w14:textId="77777777" w:rsidTr="00260272">
        <w:trPr>
          <w:trHeight w:val="288"/>
        </w:trPr>
        <w:tc>
          <w:tcPr>
            <w:tcW w:w="3955" w:type="dxa"/>
            <w:vAlign w:val="center"/>
          </w:tcPr>
          <w:p w14:paraId="71FB24D7" w14:textId="0A546345"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Negative</w:t>
            </w:r>
          </w:p>
        </w:tc>
        <w:tc>
          <w:tcPr>
            <w:tcW w:w="1530" w:type="dxa"/>
            <w:vAlign w:val="center"/>
          </w:tcPr>
          <w:p w14:paraId="4AC145D3" w14:textId="1AA50BAE"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331 (56%)</w:t>
            </w:r>
          </w:p>
        </w:tc>
      </w:tr>
      <w:tr w:rsidR="00F314A2" w14:paraId="2B8AA213" w14:textId="77777777" w:rsidTr="00260272">
        <w:trPr>
          <w:trHeight w:val="288"/>
        </w:trPr>
        <w:tc>
          <w:tcPr>
            <w:tcW w:w="3955" w:type="dxa"/>
            <w:vAlign w:val="center"/>
          </w:tcPr>
          <w:p w14:paraId="17F3E83D" w14:textId="72EDF4BA"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Focally </w:t>
            </w:r>
            <w:r w:rsidR="001A0AAD">
              <w:rPr>
                <w:rFonts w:asciiTheme="minorHAnsi" w:hAnsiTheme="minorHAnsi" w:cstheme="minorHAnsi"/>
                <w:sz w:val="18"/>
                <w:szCs w:val="18"/>
              </w:rPr>
              <w:t>p</w:t>
            </w:r>
            <w:r>
              <w:rPr>
                <w:rFonts w:asciiTheme="minorHAnsi" w:hAnsiTheme="minorHAnsi" w:cstheme="minorHAnsi"/>
                <w:sz w:val="18"/>
                <w:szCs w:val="18"/>
              </w:rPr>
              <w:t>ositive</w:t>
            </w:r>
          </w:p>
        </w:tc>
        <w:tc>
          <w:tcPr>
            <w:tcW w:w="1530" w:type="dxa"/>
            <w:vAlign w:val="center"/>
          </w:tcPr>
          <w:p w14:paraId="03213213" w14:textId="33D43CEC"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55 (9%)</w:t>
            </w:r>
          </w:p>
        </w:tc>
      </w:tr>
      <w:tr w:rsidR="00F314A2" w14:paraId="67EC8147" w14:textId="77777777" w:rsidTr="00260272">
        <w:trPr>
          <w:trHeight w:val="288"/>
        </w:trPr>
        <w:tc>
          <w:tcPr>
            <w:tcW w:w="3955" w:type="dxa"/>
            <w:vAlign w:val="center"/>
          </w:tcPr>
          <w:p w14:paraId="4524E813" w14:textId="7D9231A4"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Extensively </w:t>
            </w:r>
            <w:r w:rsidR="001A0AAD">
              <w:rPr>
                <w:rFonts w:asciiTheme="minorHAnsi" w:hAnsiTheme="minorHAnsi" w:cstheme="minorHAnsi"/>
                <w:sz w:val="18"/>
                <w:szCs w:val="18"/>
              </w:rPr>
              <w:t>p</w:t>
            </w:r>
            <w:r>
              <w:rPr>
                <w:rFonts w:asciiTheme="minorHAnsi" w:hAnsiTheme="minorHAnsi" w:cstheme="minorHAnsi"/>
                <w:sz w:val="18"/>
                <w:szCs w:val="18"/>
              </w:rPr>
              <w:t xml:space="preserve">ositive </w:t>
            </w:r>
          </w:p>
        </w:tc>
        <w:tc>
          <w:tcPr>
            <w:tcW w:w="1530" w:type="dxa"/>
            <w:vAlign w:val="center"/>
          </w:tcPr>
          <w:p w14:paraId="33E80AA1" w14:textId="116CB8D4"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199 (3</w:t>
            </w:r>
            <w:r w:rsidR="00033BDE">
              <w:rPr>
                <w:rFonts w:asciiTheme="minorHAnsi" w:hAnsiTheme="minorHAnsi" w:cstheme="minorHAnsi"/>
                <w:sz w:val="18"/>
                <w:szCs w:val="18"/>
              </w:rPr>
              <w:t>4</w:t>
            </w:r>
            <w:r>
              <w:rPr>
                <w:rFonts w:asciiTheme="minorHAnsi" w:hAnsiTheme="minorHAnsi" w:cstheme="minorHAnsi"/>
                <w:sz w:val="18"/>
                <w:szCs w:val="18"/>
              </w:rPr>
              <w:t>%)</w:t>
            </w:r>
          </w:p>
        </w:tc>
      </w:tr>
      <w:tr w:rsidR="00F314A2" w14:paraId="094001C3" w14:textId="77777777" w:rsidTr="00260272">
        <w:trPr>
          <w:trHeight w:val="288"/>
        </w:trPr>
        <w:tc>
          <w:tcPr>
            <w:tcW w:w="3955" w:type="dxa"/>
            <w:vAlign w:val="center"/>
          </w:tcPr>
          <w:p w14:paraId="2AE0DBCF" w14:textId="3261BEB8"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w:t>
            </w:r>
            <w:r w:rsidR="001A0AAD">
              <w:rPr>
                <w:rFonts w:asciiTheme="minorHAnsi" w:hAnsiTheme="minorHAnsi" w:cstheme="minorHAnsi"/>
                <w:sz w:val="18"/>
                <w:szCs w:val="18"/>
              </w:rPr>
              <w:t>Positive, e</w:t>
            </w:r>
            <w:r>
              <w:rPr>
                <w:rFonts w:asciiTheme="minorHAnsi" w:hAnsiTheme="minorHAnsi" w:cstheme="minorHAnsi"/>
                <w:sz w:val="18"/>
                <w:szCs w:val="18"/>
              </w:rPr>
              <w:t>xtent unknown</w:t>
            </w:r>
          </w:p>
        </w:tc>
        <w:tc>
          <w:tcPr>
            <w:tcW w:w="1530" w:type="dxa"/>
            <w:vAlign w:val="center"/>
          </w:tcPr>
          <w:p w14:paraId="0F5D4C2D" w14:textId="7C7F8087"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4 (</w:t>
            </w:r>
            <w:r w:rsidR="00033BDE">
              <w:rPr>
                <w:rFonts w:asciiTheme="minorHAnsi" w:hAnsiTheme="minorHAnsi" w:cstheme="minorHAnsi"/>
                <w:sz w:val="18"/>
                <w:szCs w:val="18"/>
              </w:rPr>
              <w:t>1</w:t>
            </w:r>
            <w:r>
              <w:rPr>
                <w:rFonts w:asciiTheme="minorHAnsi" w:hAnsiTheme="minorHAnsi" w:cstheme="minorHAnsi"/>
                <w:sz w:val="18"/>
                <w:szCs w:val="18"/>
              </w:rPr>
              <w:t>%)</w:t>
            </w:r>
          </w:p>
        </w:tc>
      </w:tr>
      <w:tr w:rsidR="00F314A2" w14:paraId="32D5293B" w14:textId="77777777" w:rsidTr="00260272">
        <w:trPr>
          <w:trHeight w:val="288"/>
        </w:trPr>
        <w:tc>
          <w:tcPr>
            <w:tcW w:w="3955" w:type="dxa"/>
            <w:vAlign w:val="center"/>
          </w:tcPr>
          <w:p w14:paraId="61B99A35" w14:textId="4D79A336"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Seminal Vesicle Invasion, # (%)</w:t>
            </w:r>
          </w:p>
        </w:tc>
        <w:tc>
          <w:tcPr>
            <w:tcW w:w="1530" w:type="dxa"/>
            <w:vAlign w:val="center"/>
          </w:tcPr>
          <w:p w14:paraId="285DD585" w14:textId="77777777" w:rsidR="00F314A2" w:rsidRPr="00F52A0A" w:rsidRDefault="00F314A2" w:rsidP="00F314A2">
            <w:pPr>
              <w:pStyle w:val="NoSpacing"/>
              <w:jc w:val="center"/>
              <w:rPr>
                <w:rFonts w:asciiTheme="minorHAnsi" w:hAnsiTheme="minorHAnsi" w:cstheme="minorHAnsi"/>
                <w:sz w:val="18"/>
                <w:szCs w:val="18"/>
              </w:rPr>
            </w:pPr>
          </w:p>
        </w:tc>
      </w:tr>
      <w:tr w:rsidR="00F314A2" w14:paraId="494F74B1" w14:textId="77777777" w:rsidTr="00260272">
        <w:trPr>
          <w:trHeight w:val="288"/>
        </w:trPr>
        <w:tc>
          <w:tcPr>
            <w:tcW w:w="3955" w:type="dxa"/>
            <w:vAlign w:val="center"/>
          </w:tcPr>
          <w:p w14:paraId="6C155AFC" w14:textId="2944663B"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Not present</w:t>
            </w:r>
          </w:p>
        </w:tc>
        <w:tc>
          <w:tcPr>
            <w:tcW w:w="1530" w:type="dxa"/>
            <w:vAlign w:val="center"/>
          </w:tcPr>
          <w:p w14:paraId="0A50656B" w14:textId="5C083070"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522 (88.6%)</w:t>
            </w:r>
          </w:p>
        </w:tc>
      </w:tr>
      <w:tr w:rsidR="00F314A2" w14:paraId="0D2413C0" w14:textId="77777777" w:rsidTr="00260272">
        <w:trPr>
          <w:trHeight w:val="288"/>
        </w:trPr>
        <w:tc>
          <w:tcPr>
            <w:tcW w:w="3955" w:type="dxa"/>
            <w:vAlign w:val="center"/>
          </w:tcPr>
          <w:p w14:paraId="50206DE0" w14:textId="29EC7F98"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Unilateral </w:t>
            </w:r>
          </w:p>
        </w:tc>
        <w:tc>
          <w:tcPr>
            <w:tcW w:w="1530" w:type="dxa"/>
            <w:vAlign w:val="center"/>
          </w:tcPr>
          <w:p w14:paraId="07240D6F" w14:textId="0286CF4F"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36 (6.1%)</w:t>
            </w:r>
          </w:p>
        </w:tc>
      </w:tr>
      <w:tr w:rsidR="00F314A2" w14:paraId="29E93FA3" w14:textId="77777777" w:rsidTr="00260272">
        <w:trPr>
          <w:trHeight w:val="288"/>
        </w:trPr>
        <w:tc>
          <w:tcPr>
            <w:tcW w:w="3955" w:type="dxa"/>
            <w:vAlign w:val="center"/>
          </w:tcPr>
          <w:p w14:paraId="12F16E60" w14:textId="13E44506"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Bilateral </w:t>
            </w:r>
          </w:p>
        </w:tc>
        <w:tc>
          <w:tcPr>
            <w:tcW w:w="1530" w:type="dxa"/>
            <w:vAlign w:val="center"/>
          </w:tcPr>
          <w:p w14:paraId="53241292" w14:textId="23155AF3"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29 (4.9%)</w:t>
            </w:r>
          </w:p>
        </w:tc>
      </w:tr>
      <w:tr w:rsidR="001A0AAD" w14:paraId="68BAB358" w14:textId="77777777" w:rsidTr="00260272">
        <w:trPr>
          <w:trHeight w:val="288"/>
        </w:trPr>
        <w:tc>
          <w:tcPr>
            <w:tcW w:w="3955" w:type="dxa"/>
            <w:vAlign w:val="center"/>
          </w:tcPr>
          <w:p w14:paraId="2AC24E26" w14:textId="5727A22F" w:rsidR="001A0AAD" w:rsidRDefault="001A0AAD"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Unknown </w:t>
            </w:r>
          </w:p>
        </w:tc>
        <w:tc>
          <w:tcPr>
            <w:tcW w:w="1530" w:type="dxa"/>
            <w:vAlign w:val="center"/>
          </w:tcPr>
          <w:p w14:paraId="7B3CDB6C" w14:textId="2F9E203E" w:rsidR="001A0AAD"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2 (0.3%)</w:t>
            </w:r>
          </w:p>
        </w:tc>
      </w:tr>
      <w:tr w:rsidR="00F314A2" w14:paraId="58C413C9" w14:textId="77777777" w:rsidTr="00260272">
        <w:trPr>
          <w:trHeight w:val="288"/>
        </w:trPr>
        <w:tc>
          <w:tcPr>
            <w:tcW w:w="3955" w:type="dxa"/>
            <w:vAlign w:val="center"/>
          </w:tcPr>
          <w:p w14:paraId="50BF0E1B" w14:textId="6E22D1C7"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Surgical Margin Status, # (%)</w:t>
            </w:r>
          </w:p>
        </w:tc>
        <w:tc>
          <w:tcPr>
            <w:tcW w:w="1530" w:type="dxa"/>
            <w:vAlign w:val="center"/>
          </w:tcPr>
          <w:p w14:paraId="4C8D034A" w14:textId="77777777" w:rsidR="00F314A2" w:rsidRPr="00F52A0A" w:rsidRDefault="00F314A2" w:rsidP="00F314A2">
            <w:pPr>
              <w:pStyle w:val="NoSpacing"/>
              <w:jc w:val="center"/>
              <w:rPr>
                <w:rFonts w:asciiTheme="minorHAnsi" w:hAnsiTheme="minorHAnsi" w:cstheme="minorHAnsi"/>
                <w:sz w:val="18"/>
                <w:szCs w:val="18"/>
              </w:rPr>
            </w:pPr>
          </w:p>
        </w:tc>
      </w:tr>
      <w:tr w:rsidR="00F314A2" w14:paraId="030FF0FB" w14:textId="77777777" w:rsidTr="00260272">
        <w:trPr>
          <w:trHeight w:val="288"/>
        </w:trPr>
        <w:tc>
          <w:tcPr>
            <w:tcW w:w="3955" w:type="dxa"/>
            <w:vAlign w:val="center"/>
          </w:tcPr>
          <w:p w14:paraId="3B7D4B17" w14:textId="2E26C619"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Negative</w:t>
            </w:r>
          </w:p>
        </w:tc>
        <w:tc>
          <w:tcPr>
            <w:tcW w:w="1530" w:type="dxa"/>
            <w:vAlign w:val="center"/>
          </w:tcPr>
          <w:p w14:paraId="50B6776A" w14:textId="2A13E890"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481 (8</w:t>
            </w:r>
            <w:r w:rsidR="00033BDE">
              <w:rPr>
                <w:rFonts w:asciiTheme="minorHAnsi" w:hAnsiTheme="minorHAnsi" w:cstheme="minorHAnsi"/>
                <w:sz w:val="18"/>
                <w:szCs w:val="18"/>
              </w:rPr>
              <w:t>2</w:t>
            </w:r>
            <w:r>
              <w:rPr>
                <w:rFonts w:asciiTheme="minorHAnsi" w:hAnsiTheme="minorHAnsi" w:cstheme="minorHAnsi"/>
                <w:sz w:val="18"/>
                <w:szCs w:val="18"/>
              </w:rPr>
              <w:t>%)</w:t>
            </w:r>
          </w:p>
        </w:tc>
      </w:tr>
      <w:tr w:rsidR="00F314A2" w14:paraId="364E1C14" w14:textId="77777777" w:rsidTr="00260272">
        <w:trPr>
          <w:trHeight w:val="288"/>
        </w:trPr>
        <w:tc>
          <w:tcPr>
            <w:tcW w:w="3955" w:type="dxa"/>
            <w:vAlign w:val="center"/>
          </w:tcPr>
          <w:p w14:paraId="3E5D643C" w14:textId="07A4EB55"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Focally Positive</w:t>
            </w:r>
          </w:p>
        </w:tc>
        <w:tc>
          <w:tcPr>
            <w:tcW w:w="1530" w:type="dxa"/>
            <w:vAlign w:val="center"/>
          </w:tcPr>
          <w:p w14:paraId="1FDB2CB0" w14:textId="01922FA8"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68 (1</w:t>
            </w:r>
            <w:r w:rsidR="00033BDE">
              <w:rPr>
                <w:rFonts w:asciiTheme="minorHAnsi" w:hAnsiTheme="minorHAnsi" w:cstheme="minorHAnsi"/>
                <w:sz w:val="18"/>
                <w:szCs w:val="18"/>
              </w:rPr>
              <w:t>2</w:t>
            </w:r>
            <w:r>
              <w:rPr>
                <w:rFonts w:asciiTheme="minorHAnsi" w:hAnsiTheme="minorHAnsi" w:cstheme="minorHAnsi"/>
                <w:sz w:val="18"/>
                <w:szCs w:val="18"/>
              </w:rPr>
              <w:t>%)</w:t>
            </w:r>
          </w:p>
        </w:tc>
      </w:tr>
      <w:tr w:rsidR="00F314A2" w14:paraId="34B4845F" w14:textId="77777777" w:rsidTr="00260272">
        <w:trPr>
          <w:trHeight w:val="288"/>
        </w:trPr>
        <w:tc>
          <w:tcPr>
            <w:tcW w:w="3955" w:type="dxa"/>
            <w:vAlign w:val="center"/>
          </w:tcPr>
          <w:p w14:paraId="25B237A4" w14:textId="5F154B6B"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Extensively Positive </w:t>
            </w:r>
          </w:p>
        </w:tc>
        <w:tc>
          <w:tcPr>
            <w:tcW w:w="1530" w:type="dxa"/>
            <w:vAlign w:val="center"/>
          </w:tcPr>
          <w:p w14:paraId="410D4247" w14:textId="7B18B81D"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40 (</w:t>
            </w:r>
            <w:r w:rsidR="00033BDE">
              <w:rPr>
                <w:rFonts w:asciiTheme="minorHAnsi" w:hAnsiTheme="minorHAnsi" w:cstheme="minorHAnsi"/>
                <w:sz w:val="18"/>
                <w:szCs w:val="18"/>
              </w:rPr>
              <w:t>7</w:t>
            </w:r>
            <w:r>
              <w:rPr>
                <w:rFonts w:asciiTheme="minorHAnsi" w:hAnsiTheme="minorHAnsi" w:cstheme="minorHAnsi"/>
                <w:sz w:val="18"/>
                <w:szCs w:val="18"/>
              </w:rPr>
              <w:t>%)</w:t>
            </w:r>
          </w:p>
        </w:tc>
      </w:tr>
      <w:tr w:rsidR="00F314A2" w14:paraId="7432D154" w14:textId="77777777" w:rsidTr="00260272">
        <w:trPr>
          <w:trHeight w:val="288"/>
        </w:trPr>
        <w:tc>
          <w:tcPr>
            <w:tcW w:w="3955" w:type="dxa"/>
            <w:vAlign w:val="center"/>
          </w:tcPr>
          <w:p w14:paraId="0EA9398D" w14:textId="73974600"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Surgical Gleason Score</w:t>
            </w:r>
          </w:p>
        </w:tc>
        <w:tc>
          <w:tcPr>
            <w:tcW w:w="1530" w:type="dxa"/>
            <w:vAlign w:val="center"/>
          </w:tcPr>
          <w:p w14:paraId="0D118548" w14:textId="77777777" w:rsidR="00F314A2" w:rsidRPr="00F52A0A" w:rsidRDefault="00F314A2" w:rsidP="00F314A2">
            <w:pPr>
              <w:pStyle w:val="NoSpacing"/>
              <w:jc w:val="center"/>
              <w:rPr>
                <w:rFonts w:asciiTheme="minorHAnsi" w:hAnsiTheme="minorHAnsi" w:cstheme="minorHAnsi"/>
                <w:sz w:val="18"/>
                <w:szCs w:val="18"/>
              </w:rPr>
            </w:pPr>
          </w:p>
        </w:tc>
      </w:tr>
      <w:tr w:rsidR="00F314A2" w14:paraId="1D90B9CA" w14:textId="77777777" w:rsidTr="00260272">
        <w:trPr>
          <w:trHeight w:val="288"/>
        </w:trPr>
        <w:tc>
          <w:tcPr>
            <w:tcW w:w="3955" w:type="dxa"/>
            <w:vAlign w:val="center"/>
          </w:tcPr>
          <w:p w14:paraId="1939BE1B" w14:textId="160DC984"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6 </w:t>
            </w:r>
          </w:p>
        </w:tc>
        <w:tc>
          <w:tcPr>
            <w:tcW w:w="1530" w:type="dxa"/>
            <w:vAlign w:val="center"/>
          </w:tcPr>
          <w:p w14:paraId="573EC176" w14:textId="31C69468"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14 (2%)</w:t>
            </w:r>
          </w:p>
        </w:tc>
      </w:tr>
      <w:tr w:rsidR="00F314A2" w14:paraId="570A5492" w14:textId="77777777" w:rsidTr="00260272">
        <w:trPr>
          <w:trHeight w:val="288"/>
        </w:trPr>
        <w:tc>
          <w:tcPr>
            <w:tcW w:w="3955" w:type="dxa"/>
            <w:vAlign w:val="center"/>
          </w:tcPr>
          <w:p w14:paraId="6F88D679" w14:textId="6CB787E7"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7</w:t>
            </w:r>
          </w:p>
        </w:tc>
        <w:tc>
          <w:tcPr>
            <w:tcW w:w="1530" w:type="dxa"/>
            <w:vAlign w:val="center"/>
          </w:tcPr>
          <w:p w14:paraId="6F98E15B" w14:textId="33E3078D" w:rsidR="00F314A2" w:rsidRPr="001A0AAD"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459 (7</w:t>
            </w:r>
            <w:r w:rsidR="00033BDE">
              <w:rPr>
                <w:rFonts w:asciiTheme="minorHAnsi" w:hAnsiTheme="minorHAnsi" w:cstheme="minorHAnsi"/>
                <w:sz w:val="18"/>
                <w:szCs w:val="18"/>
              </w:rPr>
              <w:t>8</w:t>
            </w:r>
            <w:r>
              <w:rPr>
                <w:rFonts w:asciiTheme="minorHAnsi" w:hAnsiTheme="minorHAnsi" w:cstheme="minorHAnsi"/>
                <w:sz w:val="18"/>
                <w:szCs w:val="18"/>
              </w:rPr>
              <w:t>%)</w:t>
            </w:r>
          </w:p>
        </w:tc>
      </w:tr>
      <w:tr w:rsidR="00F314A2" w14:paraId="698258FE" w14:textId="77777777" w:rsidTr="00260272">
        <w:trPr>
          <w:trHeight w:val="288"/>
        </w:trPr>
        <w:tc>
          <w:tcPr>
            <w:tcW w:w="3955" w:type="dxa"/>
            <w:vAlign w:val="center"/>
          </w:tcPr>
          <w:p w14:paraId="0B93FF2C" w14:textId="785DBB7D"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8</w:t>
            </w:r>
          </w:p>
        </w:tc>
        <w:tc>
          <w:tcPr>
            <w:tcW w:w="1530" w:type="dxa"/>
            <w:vAlign w:val="center"/>
          </w:tcPr>
          <w:p w14:paraId="47B0ED09" w14:textId="11858E7A"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19 (3%)</w:t>
            </w:r>
          </w:p>
        </w:tc>
      </w:tr>
      <w:tr w:rsidR="00F314A2" w14:paraId="369DEEE9" w14:textId="77777777" w:rsidTr="00260272">
        <w:trPr>
          <w:trHeight w:val="288"/>
        </w:trPr>
        <w:tc>
          <w:tcPr>
            <w:tcW w:w="3955" w:type="dxa"/>
            <w:vAlign w:val="center"/>
          </w:tcPr>
          <w:p w14:paraId="73887B05" w14:textId="07023F67"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9</w:t>
            </w:r>
          </w:p>
        </w:tc>
        <w:tc>
          <w:tcPr>
            <w:tcW w:w="1530" w:type="dxa"/>
            <w:vAlign w:val="center"/>
          </w:tcPr>
          <w:p w14:paraId="55E46906" w14:textId="5B9669E6"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92 (16%)</w:t>
            </w:r>
          </w:p>
        </w:tc>
      </w:tr>
      <w:tr w:rsidR="00F314A2" w14:paraId="24D9265C" w14:textId="77777777" w:rsidTr="00260272">
        <w:trPr>
          <w:trHeight w:val="288"/>
        </w:trPr>
        <w:tc>
          <w:tcPr>
            <w:tcW w:w="3955" w:type="dxa"/>
            <w:vAlign w:val="center"/>
          </w:tcPr>
          <w:p w14:paraId="74A6F776" w14:textId="296F6E25" w:rsidR="00F314A2" w:rsidRDefault="00F314A2" w:rsidP="00F314A2">
            <w:pPr>
              <w:pStyle w:val="NoSpacing"/>
              <w:rPr>
                <w:rFonts w:asciiTheme="minorHAnsi" w:hAnsiTheme="minorHAnsi" w:cstheme="minorHAnsi"/>
                <w:sz w:val="18"/>
                <w:szCs w:val="18"/>
              </w:rPr>
            </w:pPr>
            <w:r>
              <w:rPr>
                <w:rFonts w:asciiTheme="minorHAnsi" w:hAnsiTheme="minorHAnsi" w:cstheme="minorHAnsi"/>
                <w:sz w:val="18"/>
                <w:szCs w:val="18"/>
              </w:rPr>
              <w:t xml:space="preserve">        </w:t>
            </w:r>
            <w:r w:rsidR="001A0AAD">
              <w:rPr>
                <w:rFonts w:asciiTheme="minorHAnsi" w:hAnsiTheme="minorHAnsi" w:cstheme="minorHAnsi"/>
                <w:sz w:val="18"/>
                <w:szCs w:val="18"/>
              </w:rPr>
              <w:t>Unknown</w:t>
            </w:r>
          </w:p>
        </w:tc>
        <w:tc>
          <w:tcPr>
            <w:tcW w:w="1530" w:type="dxa"/>
            <w:vAlign w:val="center"/>
          </w:tcPr>
          <w:p w14:paraId="4470577D" w14:textId="783829DB" w:rsidR="00F314A2" w:rsidRPr="00F52A0A" w:rsidRDefault="001A0AAD" w:rsidP="00F314A2">
            <w:pPr>
              <w:pStyle w:val="NoSpacing"/>
              <w:jc w:val="center"/>
              <w:rPr>
                <w:rFonts w:asciiTheme="minorHAnsi" w:hAnsiTheme="minorHAnsi" w:cstheme="minorHAnsi"/>
                <w:sz w:val="18"/>
                <w:szCs w:val="18"/>
              </w:rPr>
            </w:pPr>
            <w:r>
              <w:rPr>
                <w:rFonts w:asciiTheme="minorHAnsi" w:hAnsiTheme="minorHAnsi" w:cstheme="minorHAnsi"/>
                <w:sz w:val="18"/>
                <w:szCs w:val="18"/>
              </w:rPr>
              <w:t>5 (</w:t>
            </w:r>
            <w:r w:rsidR="00033BDE">
              <w:rPr>
                <w:rFonts w:asciiTheme="minorHAnsi" w:hAnsiTheme="minorHAnsi" w:cstheme="minorHAnsi"/>
                <w:sz w:val="18"/>
                <w:szCs w:val="18"/>
              </w:rPr>
              <w:t>1</w:t>
            </w:r>
            <w:r>
              <w:rPr>
                <w:rFonts w:asciiTheme="minorHAnsi" w:hAnsiTheme="minorHAnsi" w:cstheme="minorHAnsi"/>
                <w:sz w:val="18"/>
                <w:szCs w:val="18"/>
              </w:rPr>
              <w:t>%)</w:t>
            </w:r>
          </w:p>
        </w:tc>
      </w:tr>
      <w:tr w:rsidR="00145493" w14:paraId="6ADD5D80" w14:textId="77777777" w:rsidTr="00260272">
        <w:trPr>
          <w:trHeight w:val="288"/>
        </w:trPr>
        <w:tc>
          <w:tcPr>
            <w:tcW w:w="3955" w:type="dxa"/>
            <w:vAlign w:val="center"/>
          </w:tcPr>
          <w:p w14:paraId="49679DC0" w14:textId="176863C3"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EPIC Urinary Function baseline score, median (IQR)</w:t>
            </w:r>
          </w:p>
        </w:tc>
        <w:tc>
          <w:tcPr>
            <w:tcW w:w="1530" w:type="dxa"/>
            <w:vAlign w:val="center"/>
          </w:tcPr>
          <w:p w14:paraId="271BA6DE" w14:textId="1AC7FD18"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100 (86,100)</w:t>
            </w:r>
          </w:p>
        </w:tc>
      </w:tr>
      <w:tr w:rsidR="00145493" w14:paraId="11C918C4" w14:textId="77777777" w:rsidTr="00260272">
        <w:trPr>
          <w:trHeight w:val="288"/>
        </w:trPr>
        <w:tc>
          <w:tcPr>
            <w:tcW w:w="3955" w:type="dxa"/>
            <w:vAlign w:val="center"/>
          </w:tcPr>
          <w:p w14:paraId="5D09BAE8" w14:textId="650D0DC4"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Continence, # continent (%) </w:t>
            </w:r>
          </w:p>
        </w:tc>
        <w:tc>
          <w:tcPr>
            <w:tcW w:w="1530" w:type="dxa"/>
            <w:vAlign w:val="center"/>
          </w:tcPr>
          <w:p w14:paraId="59544ADE" w14:textId="77777777" w:rsidR="00145493" w:rsidRPr="00F52A0A" w:rsidRDefault="00145493" w:rsidP="00145493">
            <w:pPr>
              <w:pStyle w:val="NoSpacing"/>
              <w:jc w:val="center"/>
              <w:rPr>
                <w:rFonts w:asciiTheme="minorHAnsi" w:hAnsiTheme="minorHAnsi" w:cstheme="minorHAnsi"/>
                <w:sz w:val="18"/>
                <w:szCs w:val="18"/>
              </w:rPr>
            </w:pPr>
          </w:p>
        </w:tc>
      </w:tr>
      <w:tr w:rsidR="00145493" w14:paraId="12764C4F" w14:textId="77777777" w:rsidTr="00260272">
        <w:trPr>
          <w:trHeight w:val="288"/>
        </w:trPr>
        <w:tc>
          <w:tcPr>
            <w:tcW w:w="3955" w:type="dxa"/>
            <w:vAlign w:val="center"/>
          </w:tcPr>
          <w:p w14:paraId="271867D1" w14:textId="1463DADD"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Baseline/pre-operative, n=589</w:t>
            </w:r>
          </w:p>
        </w:tc>
        <w:tc>
          <w:tcPr>
            <w:tcW w:w="1530" w:type="dxa"/>
            <w:vAlign w:val="center"/>
          </w:tcPr>
          <w:p w14:paraId="6E53732C" w14:textId="498114AB"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588 (</w:t>
            </w:r>
            <w:r w:rsidR="00DC3CB6">
              <w:rPr>
                <w:rFonts w:asciiTheme="minorHAnsi" w:hAnsiTheme="minorHAnsi" w:cstheme="minorHAnsi"/>
                <w:sz w:val="18"/>
                <w:szCs w:val="18"/>
              </w:rPr>
              <w:t>&gt;</w:t>
            </w:r>
            <w:r>
              <w:rPr>
                <w:rFonts w:asciiTheme="minorHAnsi" w:hAnsiTheme="minorHAnsi" w:cstheme="minorHAnsi"/>
                <w:sz w:val="18"/>
                <w:szCs w:val="18"/>
              </w:rPr>
              <w:t>99%)</w:t>
            </w:r>
          </w:p>
        </w:tc>
      </w:tr>
      <w:tr w:rsidR="00145493" w14:paraId="1BA17E58" w14:textId="77777777" w:rsidTr="00260272">
        <w:trPr>
          <w:trHeight w:val="288"/>
        </w:trPr>
        <w:tc>
          <w:tcPr>
            <w:tcW w:w="3955" w:type="dxa"/>
            <w:vAlign w:val="center"/>
          </w:tcPr>
          <w:p w14:paraId="221A998F" w14:textId="45CC7D40"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3 months post-RP, n=529</w:t>
            </w:r>
          </w:p>
        </w:tc>
        <w:tc>
          <w:tcPr>
            <w:tcW w:w="1530" w:type="dxa"/>
            <w:vAlign w:val="center"/>
          </w:tcPr>
          <w:p w14:paraId="7181CCFA" w14:textId="553D65A1"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384 (7</w:t>
            </w:r>
            <w:r w:rsidR="00033BDE">
              <w:rPr>
                <w:rFonts w:asciiTheme="minorHAnsi" w:hAnsiTheme="minorHAnsi" w:cstheme="minorHAnsi"/>
                <w:sz w:val="18"/>
                <w:szCs w:val="18"/>
              </w:rPr>
              <w:t>3</w:t>
            </w:r>
            <w:r>
              <w:rPr>
                <w:rFonts w:asciiTheme="minorHAnsi" w:hAnsiTheme="minorHAnsi" w:cstheme="minorHAnsi"/>
                <w:sz w:val="18"/>
                <w:szCs w:val="18"/>
              </w:rPr>
              <w:t>%)</w:t>
            </w:r>
          </w:p>
        </w:tc>
      </w:tr>
      <w:tr w:rsidR="00145493" w14:paraId="065E2EC1" w14:textId="77777777" w:rsidTr="00260272">
        <w:trPr>
          <w:trHeight w:val="288"/>
        </w:trPr>
        <w:tc>
          <w:tcPr>
            <w:tcW w:w="3955" w:type="dxa"/>
            <w:vAlign w:val="center"/>
          </w:tcPr>
          <w:p w14:paraId="7123BCA4" w14:textId="24C0C3EF"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6 months post-RP, n=465</w:t>
            </w:r>
          </w:p>
        </w:tc>
        <w:tc>
          <w:tcPr>
            <w:tcW w:w="1530" w:type="dxa"/>
            <w:vAlign w:val="center"/>
          </w:tcPr>
          <w:p w14:paraId="0308DEF6" w14:textId="3321E75C"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402 (8</w:t>
            </w:r>
            <w:r w:rsidR="00033BDE">
              <w:rPr>
                <w:rFonts w:asciiTheme="minorHAnsi" w:hAnsiTheme="minorHAnsi" w:cstheme="minorHAnsi"/>
                <w:sz w:val="18"/>
                <w:szCs w:val="18"/>
              </w:rPr>
              <w:t>7</w:t>
            </w:r>
            <w:r>
              <w:rPr>
                <w:rFonts w:asciiTheme="minorHAnsi" w:hAnsiTheme="minorHAnsi" w:cstheme="minorHAnsi"/>
                <w:sz w:val="18"/>
                <w:szCs w:val="18"/>
              </w:rPr>
              <w:t>%)</w:t>
            </w:r>
          </w:p>
        </w:tc>
      </w:tr>
      <w:tr w:rsidR="00145493" w14:paraId="27C5682F" w14:textId="77777777" w:rsidTr="00260272">
        <w:trPr>
          <w:trHeight w:val="288"/>
        </w:trPr>
        <w:tc>
          <w:tcPr>
            <w:tcW w:w="3955" w:type="dxa"/>
            <w:vAlign w:val="center"/>
          </w:tcPr>
          <w:p w14:paraId="60B58B5F" w14:textId="0859C04D"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lastRenderedPageBreak/>
              <w:t xml:space="preserve">        12 months post-RP, n=425 </w:t>
            </w:r>
          </w:p>
        </w:tc>
        <w:tc>
          <w:tcPr>
            <w:tcW w:w="1530" w:type="dxa"/>
            <w:vAlign w:val="center"/>
          </w:tcPr>
          <w:p w14:paraId="2FB0AC0E" w14:textId="69CCC3CD"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388 (91%)</w:t>
            </w:r>
          </w:p>
        </w:tc>
      </w:tr>
      <w:tr w:rsidR="00145493" w14:paraId="4AC1EC93" w14:textId="77777777" w:rsidTr="00260272">
        <w:trPr>
          <w:trHeight w:val="288"/>
        </w:trPr>
        <w:tc>
          <w:tcPr>
            <w:tcW w:w="3955" w:type="dxa"/>
            <w:vAlign w:val="center"/>
          </w:tcPr>
          <w:p w14:paraId="3C345BFB" w14:textId="1EA354E4"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24 months post-RP, n=231</w:t>
            </w:r>
          </w:p>
        </w:tc>
        <w:tc>
          <w:tcPr>
            <w:tcW w:w="1530" w:type="dxa"/>
            <w:vAlign w:val="center"/>
          </w:tcPr>
          <w:p w14:paraId="3FB98220" w14:textId="46355344"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217 (9</w:t>
            </w:r>
            <w:r w:rsidR="00033BDE">
              <w:rPr>
                <w:rFonts w:asciiTheme="minorHAnsi" w:hAnsiTheme="minorHAnsi" w:cstheme="minorHAnsi"/>
                <w:sz w:val="18"/>
                <w:szCs w:val="18"/>
              </w:rPr>
              <w:t>4</w:t>
            </w:r>
            <w:r>
              <w:rPr>
                <w:rFonts w:asciiTheme="minorHAnsi" w:hAnsiTheme="minorHAnsi" w:cstheme="minorHAnsi"/>
                <w:sz w:val="18"/>
                <w:szCs w:val="18"/>
              </w:rPr>
              <w:t>%)</w:t>
            </w:r>
          </w:p>
        </w:tc>
      </w:tr>
      <w:tr w:rsidR="00145493" w14:paraId="1907BFB9" w14:textId="77777777" w:rsidTr="00260272">
        <w:trPr>
          <w:trHeight w:val="288"/>
        </w:trPr>
        <w:tc>
          <w:tcPr>
            <w:tcW w:w="3955" w:type="dxa"/>
            <w:vAlign w:val="center"/>
          </w:tcPr>
          <w:p w14:paraId="4764CCE2" w14:textId="686E8FC1"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EPIC Sexual Function scores, median (IQR)</w:t>
            </w:r>
          </w:p>
        </w:tc>
        <w:tc>
          <w:tcPr>
            <w:tcW w:w="1530" w:type="dxa"/>
            <w:vAlign w:val="center"/>
          </w:tcPr>
          <w:p w14:paraId="0114E0FB" w14:textId="7FA16E53" w:rsidR="00145493" w:rsidRPr="00F52A0A" w:rsidRDefault="00145493" w:rsidP="00145493">
            <w:pPr>
              <w:pStyle w:val="NoSpacing"/>
              <w:jc w:val="center"/>
              <w:rPr>
                <w:rFonts w:asciiTheme="minorHAnsi" w:hAnsiTheme="minorHAnsi" w:cstheme="minorHAnsi"/>
                <w:sz w:val="18"/>
                <w:szCs w:val="18"/>
              </w:rPr>
            </w:pPr>
          </w:p>
        </w:tc>
      </w:tr>
      <w:tr w:rsidR="00145493" w14:paraId="2A251CB3" w14:textId="77777777" w:rsidTr="00260272">
        <w:trPr>
          <w:trHeight w:val="288"/>
        </w:trPr>
        <w:tc>
          <w:tcPr>
            <w:tcW w:w="3955" w:type="dxa"/>
            <w:vAlign w:val="center"/>
          </w:tcPr>
          <w:p w14:paraId="0FD0D41A" w14:textId="7BA6DF41"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Baseline/pre-operative, n=578, </w:t>
            </w:r>
          </w:p>
        </w:tc>
        <w:tc>
          <w:tcPr>
            <w:tcW w:w="1530" w:type="dxa"/>
            <w:vAlign w:val="center"/>
          </w:tcPr>
          <w:p w14:paraId="59659C2C" w14:textId="0AEE1ABA" w:rsidR="00145493"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75 (47,92)</w:t>
            </w:r>
          </w:p>
        </w:tc>
      </w:tr>
      <w:tr w:rsidR="00145493" w14:paraId="329BAE3E" w14:textId="77777777" w:rsidTr="00260272">
        <w:trPr>
          <w:trHeight w:val="288"/>
        </w:trPr>
        <w:tc>
          <w:tcPr>
            <w:tcW w:w="3955" w:type="dxa"/>
            <w:vAlign w:val="center"/>
          </w:tcPr>
          <w:p w14:paraId="186DBF8D" w14:textId="4403F561"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3 months post-RP, n= 523</w:t>
            </w:r>
          </w:p>
        </w:tc>
        <w:tc>
          <w:tcPr>
            <w:tcW w:w="1530" w:type="dxa"/>
            <w:vAlign w:val="center"/>
          </w:tcPr>
          <w:p w14:paraId="455A41D0" w14:textId="6FD30D5B"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27 (14, 54)</w:t>
            </w:r>
          </w:p>
        </w:tc>
      </w:tr>
      <w:tr w:rsidR="00145493" w14:paraId="3AD43D94" w14:textId="77777777" w:rsidTr="00260272">
        <w:trPr>
          <w:trHeight w:val="288"/>
        </w:trPr>
        <w:tc>
          <w:tcPr>
            <w:tcW w:w="3955" w:type="dxa"/>
            <w:vAlign w:val="center"/>
          </w:tcPr>
          <w:p w14:paraId="22165FA7" w14:textId="5B4A9A14"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6 months post-RP, n=464</w:t>
            </w:r>
          </w:p>
        </w:tc>
        <w:tc>
          <w:tcPr>
            <w:tcW w:w="1530" w:type="dxa"/>
            <w:vAlign w:val="center"/>
          </w:tcPr>
          <w:p w14:paraId="4F604217" w14:textId="3E607662"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31 (17, 61)</w:t>
            </w:r>
          </w:p>
        </w:tc>
      </w:tr>
      <w:tr w:rsidR="00145493" w14:paraId="76066ED5" w14:textId="77777777" w:rsidTr="00260272">
        <w:trPr>
          <w:trHeight w:val="288"/>
        </w:trPr>
        <w:tc>
          <w:tcPr>
            <w:tcW w:w="3955" w:type="dxa"/>
            <w:vAlign w:val="center"/>
          </w:tcPr>
          <w:p w14:paraId="0B17A369" w14:textId="714C3625"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12 months post-RP, n=421</w:t>
            </w:r>
          </w:p>
        </w:tc>
        <w:tc>
          <w:tcPr>
            <w:tcW w:w="1530" w:type="dxa"/>
            <w:vAlign w:val="center"/>
          </w:tcPr>
          <w:p w14:paraId="24E4BBD4" w14:textId="52A31581"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39 (14, 67)</w:t>
            </w:r>
          </w:p>
        </w:tc>
      </w:tr>
      <w:tr w:rsidR="00145493" w14:paraId="505A5360" w14:textId="77777777" w:rsidTr="00260272">
        <w:trPr>
          <w:trHeight w:val="288"/>
        </w:trPr>
        <w:tc>
          <w:tcPr>
            <w:tcW w:w="3955" w:type="dxa"/>
            <w:vAlign w:val="center"/>
          </w:tcPr>
          <w:p w14:paraId="1D386502" w14:textId="5B98DE81" w:rsidR="00145493" w:rsidRDefault="00145493" w:rsidP="00145493">
            <w:pPr>
              <w:pStyle w:val="NoSpacing"/>
              <w:rPr>
                <w:rFonts w:asciiTheme="minorHAnsi" w:hAnsiTheme="minorHAnsi" w:cstheme="minorHAnsi"/>
                <w:sz w:val="18"/>
                <w:szCs w:val="18"/>
              </w:rPr>
            </w:pPr>
            <w:r>
              <w:rPr>
                <w:rFonts w:asciiTheme="minorHAnsi" w:hAnsiTheme="minorHAnsi" w:cstheme="minorHAnsi"/>
                <w:sz w:val="18"/>
                <w:szCs w:val="18"/>
              </w:rPr>
              <w:t xml:space="preserve">        24 months post-RP, n=210</w:t>
            </w:r>
          </w:p>
        </w:tc>
        <w:tc>
          <w:tcPr>
            <w:tcW w:w="1530" w:type="dxa"/>
            <w:vAlign w:val="center"/>
          </w:tcPr>
          <w:p w14:paraId="1787D09A" w14:textId="6CD932FB" w:rsidR="00145493" w:rsidRPr="00F52A0A" w:rsidRDefault="00145493" w:rsidP="00145493">
            <w:pPr>
              <w:pStyle w:val="NoSpacing"/>
              <w:jc w:val="center"/>
              <w:rPr>
                <w:rFonts w:asciiTheme="minorHAnsi" w:hAnsiTheme="minorHAnsi" w:cstheme="minorHAnsi"/>
                <w:sz w:val="18"/>
                <w:szCs w:val="18"/>
              </w:rPr>
            </w:pPr>
            <w:r>
              <w:rPr>
                <w:rFonts w:asciiTheme="minorHAnsi" w:hAnsiTheme="minorHAnsi" w:cstheme="minorHAnsi"/>
                <w:sz w:val="18"/>
                <w:szCs w:val="18"/>
              </w:rPr>
              <w:t>45 (17, 75)</w:t>
            </w:r>
          </w:p>
        </w:tc>
      </w:tr>
    </w:tbl>
    <w:p w14:paraId="72FF2853" w14:textId="77777777" w:rsidR="001A0AAD" w:rsidRDefault="001A0AAD" w:rsidP="00295F5C">
      <w:pPr>
        <w:spacing w:line="480" w:lineRule="auto"/>
        <w:rPr>
          <w:rFonts w:asciiTheme="minorHAnsi" w:hAnsiTheme="minorHAnsi" w:cstheme="minorHAnsi"/>
          <w:sz w:val="22"/>
          <w:szCs w:val="22"/>
        </w:rPr>
      </w:pPr>
    </w:p>
    <w:p w14:paraId="100942B0" w14:textId="77777777" w:rsidR="006440AF" w:rsidRDefault="006440AF">
      <w:pPr>
        <w:rPr>
          <w:rFonts w:asciiTheme="minorHAnsi" w:hAnsiTheme="minorHAnsi" w:cstheme="minorHAnsi"/>
          <w:b/>
          <w:sz w:val="22"/>
          <w:szCs w:val="22"/>
        </w:rPr>
      </w:pPr>
      <w:r>
        <w:rPr>
          <w:rFonts w:asciiTheme="minorHAnsi" w:hAnsiTheme="minorHAnsi" w:cstheme="minorHAnsi"/>
          <w:b/>
          <w:sz w:val="22"/>
          <w:szCs w:val="22"/>
        </w:rPr>
        <w:br w:type="page"/>
      </w:r>
    </w:p>
    <w:p w14:paraId="0099C8D5" w14:textId="2D92F8D3" w:rsidR="004450B8" w:rsidRDefault="004450B8"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lastRenderedPageBreak/>
        <w:t>Table 2</w:t>
      </w:r>
      <w:r>
        <w:rPr>
          <w:rFonts w:asciiTheme="minorHAnsi" w:hAnsiTheme="minorHAnsi" w:cstheme="minorHAnsi"/>
          <w:sz w:val="22"/>
          <w:szCs w:val="22"/>
        </w:rPr>
        <w:t xml:space="preserve">. </w:t>
      </w:r>
      <w:r w:rsidR="006440AF">
        <w:rPr>
          <w:rFonts w:asciiTheme="minorHAnsi" w:hAnsiTheme="minorHAnsi" w:cstheme="minorHAnsi"/>
          <w:sz w:val="22"/>
          <w:szCs w:val="22"/>
        </w:rPr>
        <w:t>Univariable and multi-variable analyses of continence at 3 months post-radical prostatectomy</w:t>
      </w:r>
      <w:r w:rsidR="00DC5472">
        <w:rPr>
          <w:rFonts w:asciiTheme="minorHAnsi" w:hAnsiTheme="minorHAnsi" w:cstheme="minorHAnsi"/>
          <w:sz w:val="22"/>
          <w:szCs w:val="22"/>
        </w:rPr>
        <w:t>. Odds ratios below ‘1’ indicate a lesser risk of incontinence.</w:t>
      </w:r>
      <w:r w:rsidR="006440AF" w:rsidDel="006440AF">
        <w:rPr>
          <w:rFonts w:asciiTheme="minorHAnsi" w:hAnsiTheme="minorHAnsi" w:cstheme="minorHAnsi"/>
          <w:sz w:val="22"/>
          <w:szCs w:val="22"/>
        </w:rPr>
        <w:t xml:space="preserve"> </w:t>
      </w:r>
      <w:r w:rsidR="001B56AD">
        <w:rPr>
          <w:rFonts w:asciiTheme="minorHAnsi" w:hAnsiTheme="minorHAnsi" w:cstheme="minorHAnsi"/>
          <w:sz w:val="22"/>
          <w:szCs w:val="22"/>
        </w:rPr>
        <w:t>Reference for PI-RADS scores is PI-RADS 3. Reference for grade group is grade group 1.</w:t>
      </w:r>
    </w:p>
    <w:tbl>
      <w:tblPr>
        <w:tblStyle w:val="TableGrid"/>
        <w:tblW w:w="10440" w:type="dxa"/>
        <w:tblInd w:w="-455" w:type="dxa"/>
        <w:tblLook w:val="04A0" w:firstRow="1" w:lastRow="0" w:firstColumn="1" w:lastColumn="0" w:noHBand="0" w:noVBand="1"/>
      </w:tblPr>
      <w:tblGrid>
        <w:gridCol w:w="2790"/>
        <w:gridCol w:w="1530"/>
        <w:gridCol w:w="810"/>
        <w:gridCol w:w="90"/>
        <w:gridCol w:w="630"/>
        <w:gridCol w:w="2340"/>
        <w:gridCol w:w="2250"/>
      </w:tblGrid>
      <w:tr w:rsidR="00090403" w:rsidRPr="009119A5" w14:paraId="46AE19BE" w14:textId="77777777" w:rsidTr="00F52A0A">
        <w:trPr>
          <w:trHeight w:val="288"/>
        </w:trPr>
        <w:tc>
          <w:tcPr>
            <w:tcW w:w="5130" w:type="dxa"/>
            <w:gridSpan w:val="3"/>
            <w:tcBorders>
              <w:right w:val="nil"/>
            </w:tcBorders>
            <w:vAlign w:val="center"/>
          </w:tcPr>
          <w:p w14:paraId="0EEAA58F" w14:textId="1C36C20B" w:rsidR="00090403" w:rsidRPr="009119A5" w:rsidRDefault="00090403" w:rsidP="00090403">
            <w:pPr>
              <w:pStyle w:val="NoSpacing"/>
              <w:rPr>
                <w:rFonts w:asciiTheme="minorHAnsi" w:hAnsiTheme="minorHAnsi" w:cstheme="minorHAnsi"/>
                <w:sz w:val="18"/>
                <w:szCs w:val="18"/>
              </w:rPr>
            </w:pPr>
            <w:r w:rsidRPr="009119A5">
              <w:rPr>
                <w:rFonts w:asciiTheme="minorHAnsi" w:hAnsiTheme="minorHAnsi" w:cstheme="minorHAnsi"/>
                <w:b/>
                <w:sz w:val="18"/>
                <w:szCs w:val="18"/>
              </w:rPr>
              <w:t>MRI Variables Alone</w:t>
            </w:r>
            <w:r w:rsidR="004E7301" w:rsidRPr="009119A5">
              <w:rPr>
                <w:rFonts w:asciiTheme="minorHAnsi" w:hAnsiTheme="minorHAnsi" w:cstheme="minorHAnsi"/>
                <w:sz w:val="18"/>
                <w:szCs w:val="18"/>
              </w:rPr>
              <w:t xml:space="preserve">, N = </w:t>
            </w:r>
            <w:r w:rsidR="00E022E3">
              <w:rPr>
                <w:rFonts w:asciiTheme="minorHAnsi" w:hAnsiTheme="minorHAnsi" w:cstheme="minorHAnsi"/>
                <w:sz w:val="18"/>
                <w:szCs w:val="18"/>
              </w:rPr>
              <w:t>471</w:t>
            </w:r>
          </w:p>
        </w:tc>
        <w:tc>
          <w:tcPr>
            <w:tcW w:w="5310" w:type="dxa"/>
            <w:gridSpan w:val="4"/>
            <w:tcBorders>
              <w:left w:val="nil"/>
            </w:tcBorders>
            <w:vAlign w:val="center"/>
          </w:tcPr>
          <w:p w14:paraId="0739924C" w14:textId="46F65018" w:rsidR="00090403" w:rsidRPr="009119A5" w:rsidRDefault="00090403" w:rsidP="0009040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C-statistic = </w:t>
            </w:r>
            <w:r w:rsidR="00E022E3">
              <w:rPr>
                <w:rFonts w:asciiTheme="minorHAnsi" w:hAnsiTheme="minorHAnsi" w:cstheme="minorHAnsi"/>
                <w:sz w:val="18"/>
                <w:szCs w:val="18"/>
              </w:rPr>
              <w:t>0.</w:t>
            </w:r>
            <w:r w:rsidR="00D55F4A">
              <w:rPr>
                <w:rFonts w:asciiTheme="minorHAnsi" w:hAnsiTheme="minorHAnsi" w:cstheme="minorHAnsi"/>
                <w:sz w:val="18"/>
                <w:szCs w:val="18"/>
              </w:rPr>
              <w:t>702</w:t>
            </w:r>
          </w:p>
        </w:tc>
      </w:tr>
      <w:tr w:rsidR="00090403" w:rsidRPr="009119A5" w14:paraId="28329442" w14:textId="77777777" w:rsidTr="001A0AAD">
        <w:trPr>
          <w:trHeight w:val="288"/>
        </w:trPr>
        <w:tc>
          <w:tcPr>
            <w:tcW w:w="2790" w:type="dxa"/>
            <w:vAlign w:val="center"/>
          </w:tcPr>
          <w:p w14:paraId="201E6757" w14:textId="77777777" w:rsidR="00090403" w:rsidRPr="009119A5" w:rsidRDefault="00090403" w:rsidP="00D3516A">
            <w:pPr>
              <w:pStyle w:val="NoSpacing"/>
              <w:jc w:val="right"/>
              <w:rPr>
                <w:rFonts w:asciiTheme="minorHAnsi" w:hAnsiTheme="minorHAnsi" w:cstheme="minorHAnsi"/>
                <w:sz w:val="18"/>
                <w:szCs w:val="18"/>
              </w:rPr>
            </w:pPr>
          </w:p>
        </w:tc>
        <w:tc>
          <w:tcPr>
            <w:tcW w:w="1530" w:type="dxa"/>
            <w:vAlign w:val="center"/>
          </w:tcPr>
          <w:p w14:paraId="496F3BDD" w14:textId="6B858513" w:rsidR="00090403" w:rsidRPr="009119A5" w:rsidRDefault="001A0AAD" w:rsidP="00090403">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00D3516A" w:rsidRPr="009119A5">
              <w:rPr>
                <w:rFonts w:asciiTheme="minorHAnsi" w:hAnsiTheme="minorHAnsi" w:cstheme="minorHAnsi"/>
                <w:sz w:val="18"/>
                <w:szCs w:val="18"/>
              </w:rPr>
              <w:t>ontinent</w:t>
            </w:r>
            <w:r w:rsidR="00792F7B">
              <w:rPr>
                <w:rFonts w:asciiTheme="minorHAnsi" w:hAnsiTheme="minorHAnsi" w:cstheme="minorHAnsi"/>
                <w:sz w:val="18"/>
                <w:szCs w:val="18"/>
              </w:rPr>
              <w:t>,</w:t>
            </w:r>
            <w:r w:rsidR="00D3516A"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00D3516A"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4B585D29" w14:textId="7B4B3E29" w:rsidR="00090403" w:rsidRPr="009119A5" w:rsidRDefault="001A0AAD" w:rsidP="00090403">
            <w:pPr>
              <w:pStyle w:val="NoSpacing"/>
              <w:rPr>
                <w:rFonts w:asciiTheme="minorHAnsi" w:hAnsiTheme="minorHAnsi" w:cstheme="minorHAnsi"/>
                <w:sz w:val="18"/>
                <w:szCs w:val="18"/>
              </w:rPr>
            </w:pPr>
            <w:r>
              <w:rPr>
                <w:rFonts w:asciiTheme="minorHAnsi" w:hAnsiTheme="minorHAnsi" w:cstheme="minorHAnsi"/>
                <w:sz w:val="18"/>
                <w:szCs w:val="18"/>
              </w:rPr>
              <w:t>Inc</w:t>
            </w:r>
            <w:r w:rsidR="00D3516A" w:rsidRPr="009119A5">
              <w:rPr>
                <w:rFonts w:asciiTheme="minorHAnsi" w:hAnsiTheme="minorHAnsi" w:cstheme="minorHAnsi"/>
                <w:sz w:val="18"/>
                <w:szCs w:val="18"/>
              </w:rPr>
              <w:t>ontinent</w:t>
            </w:r>
            <w:r w:rsidR="00792F7B">
              <w:rPr>
                <w:rFonts w:asciiTheme="minorHAnsi" w:hAnsiTheme="minorHAnsi" w:cstheme="minorHAnsi"/>
                <w:sz w:val="18"/>
                <w:szCs w:val="18"/>
              </w:rPr>
              <w:t>,</w:t>
            </w:r>
            <w:r w:rsidR="00D3516A"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17FAB980" w14:textId="74CD475C" w:rsidR="00090403" w:rsidRPr="009119A5" w:rsidRDefault="00D3516A" w:rsidP="00090403">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08AB218B" w14:textId="59F5C366" w:rsidR="00090403" w:rsidRPr="009119A5" w:rsidRDefault="00D3516A" w:rsidP="00090403">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090403" w:rsidRPr="009119A5" w14:paraId="4DC3FB60" w14:textId="77777777" w:rsidTr="001A0AAD">
        <w:trPr>
          <w:trHeight w:val="288"/>
        </w:trPr>
        <w:tc>
          <w:tcPr>
            <w:tcW w:w="2790" w:type="dxa"/>
            <w:vAlign w:val="center"/>
          </w:tcPr>
          <w:p w14:paraId="59622E93" w14:textId="0E2ED175" w:rsidR="00090403" w:rsidRPr="009119A5" w:rsidRDefault="00D3516A" w:rsidP="00D3516A">
            <w:pPr>
              <w:pStyle w:val="NoSpacing"/>
              <w:jc w:val="right"/>
              <w:rPr>
                <w:rFonts w:asciiTheme="minorHAnsi" w:hAnsiTheme="minorHAnsi" w:cstheme="minorHAnsi"/>
                <w:sz w:val="18"/>
                <w:szCs w:val="18"/>
              </w:rPr>
            </w:pPr>
            <w:r w:rsidRPr="009119A5">
              <w:rPr>
                <w:rFonts w:asciiTheme="minorHAnsi" w:hAnsiTheme="minorHAnsi" w:cstheme="minorHAnsi"/>
                <w:sz w:val="18"/>
                <w:szCs w:val="18"/>
              </w:rPr>
              <w:t>MUL, coronal (</w:t>
            </w:r>
            <w:r w:rsidR="009119A5">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26A19811" w14:textId="5C11B2E1"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5</w:t>
            </w:r>
            <w:r>
              <w:rPr>
                <w:rFonts w:asciiTheme="minorHAnsi" w:hAnsiTheme="minorHAnsi" w:cstheme="minorHAnsi"/>
                <w:sz w:val="18"/>
                <w:szCs w:val="18"/>
              </w:rPr>
              <w:t>.</w:t>
            </w:r>
            <w:r w:rsidR="00533DBA">
              <w:rPr>
                <w:rFonts w:asciiTheme="minorHAnsi" w:hAnsiTheme="minorHAnsi" w:cstheme="minorHAnsi"/>
                <w:sz w:val="18"/>
                <w:szCs w:val="18"/>
              </w:rPr>
              <w:t>5</w:t>
            </w:r>
            <w:r>
              <w:rPr>
                <w:rFonts w:asciiTheme="minorHAnsi" w:hAnsiTheme="minorHAnsi" w:cstheme="minorHAnsi"/>
                <w:sz w:val="18"/>
                <w:szCs w:val="18"/>
              </w:rPr>
              <w:t xml:space="preserve"> (</w:t>
            </w:r>
            <w:r w:rsidR="00533DBA">
              <w:rPr>
                <w:rFonts w:asciiTheme="minorHAnsi" w:hAnsiTheme="minorHAnsi" w:cstheme="minorHAnsi"/>
                <w:sz w:val="18"/>
                <w:szCs w:val="18"/>
              </w:rPr>
              <w:t>3.7</w:t>
            </w:r>
            <w:r>
              <w:rPr>
                <w:rFonts w:asciiTheme="minorHAnsi" w:hAnsiTheme="minorHAnsi" w:cstheme="minorHAnsi"/>
                <w:sz w:val="18"/>
                <w:szCs w:val="18"/>
              </w:rPr>
              <w:t>)</w:t>
            </w:r>
          </w:p>
        </w:tc>
        <w:tc>
          <w:tcPr>
            <w:tcW w:w="1530" w:type="dxa"/>
            <w:gridSpan w:val="3"/>
            <w:vAlign w:val="center"/>
          </w:tcPr>
          <w:p w14:paraId="205395C6" w14:textId="70CDF5A6"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3</w:t>
            </w:r>
            <w:r>
              <w:rPr>
                <w:rFonts w:asciiTheme="minorHAnsi" w:hAnsiTheme="minorHAnsi" w:cstheme="minorHAnsi"/>
                <w:sz w:val="18"/>
                <w:szCs w:val="18"/>
              </w:rPr>
              <w:t>.</w:t>
            </w:r>
            <w:r w:rsidR="00533DBA">
              <w:rPr>
                <w:rFonts w:asciiTheme="minorHAnsi" w:hAnsiTheme="minorHAnsi" w:cstheme="minorHAnsi"/>
                <w:sz w:val="18"/>
                <w:szCs w:val="18"/>
              </w:rPr>
              <w:t>8</w:t>
            </w:r>
            <w:r>
              <w:rPr>
                <w:rFonts w:asciiTheme="minorHAnsi" w:hAnsiTheme="minorHAnsi" w:cstheme="minorHAnsi"/>
                <w:sz w:val="18"/>
                <w:szCs w:val="18"/>
              </w:rPr>
              <w:t xml:space="preserve"> (</w:t>
            </w:r>
            <w:r w:rsidR="00533DBA">
              <w:rPr>
                <w:rFonts w:asciiTheme="minorHAnsi" w:hAnsiTheme="minorHAnsi" w:cstheme="minorHAnsi"/>
                <w:sz w:val="18"/>
                <w:szCs w:val="18"/>
              </w:rPr>
              <w:t>3.7</w:t>
            </w:r>
            <w:r>
              <w:rPr>
                <w:rFonts w:asciiTheme="minorHAnsi" w:hAnsiTheme="minorHAnsi" w:cstheme="minorHAnsi"/>
                <w:sz w:val="18"/>
                <w:szCs w:val="18"/>
              </w:rPr>
              <w:t>)</w:t>
            </w:r>
          </w:p>
        </w:tc>
        <w:tc>
          <w:tcPr>
            <w:tcW w:w="2340" w:type="dxa"/>
            <w:vAlign w:val="center"/>
          </w:tcPr>
          <w:p w14:paraId="41A59F5A" w14:textId="2EB4004A" w:rsidR="00090403" w:rsidRPr="009119A5" w:rsidRDefault="00E022E3" w:rsidP="00090403">
            <w:pPr>
              <w:pStyle w:val="NoSpacing"/>
              <w:rPr>
                <w:rFonts w:asciiTheme="minorHAnsi" w:hAnsiTheme="minorHAnsi" w:cstheme="minorHAnsi"/>
                <w:sz w:val="18"/>
                <w:szCs w:val="18"/>
              </w:rPr>
            </w:pPr>
            <w:r w:rsidRPr="00533DBA">
              <w:rPr>
                <w:rFonts w:asciiTheme="minorHAnsi" w:hAnsiTheme="minorHAnsi" w:cstheme="minorHAnsi"/>
                <w:sz w:val="18"/>
                <w:szCs w:val="18"/>
                <w:highlight w:val="yellow"/>
              </w:rPr>
              <w:t>0.</w:t>
            </w:r>
            <w:r w:rsidR="00533DBA" w:rsidRPr="00533DBA">
              <w:rPr>
                <w:rFonts w:asciiTheme="minorHAnsi" w:hAnsiTheme="minorHAnsi" w:cstheme="minorHAnsi"/>
                <w:sz w:val="18"/>
                <w:szCs w:val="18"/>
                <w:highlight w:val="yellow"/>
              </w:rPr>
              <w:t>8</w:t>
            </w:r>
            <w:r w:rsidRPr="00533DBA">
              <w:rPr>
                <w:rFonts w:asciiTheme="minorHAnsi" w:hAnsiTheme="minorHAnsi" w:cstheme="minorHAnsi"/>
                <w:sz w:val="18"/>
                <w:szCs w:val="18"/>
                <w:highlight w:val="yellow"/>
              </w:rPr>
              <w:t>8 (0.</w:t>
            </w:r>
            <w:r w:rsidR="00533DBA" w:rsidRPr="00533DBA">
              <w:rPr>
                <w:rFonts w:asciiTheme="minorHAnsi" w:hAnsiTheme="minorHAnsi" w:cstheme="minorHAnsi"/>
                <w:sz w:val="18"/>
                <w:szCs w:val="18"/>
                <w:highlight w:val="yellow"/>
              </w:rPr>
              <w:t>83</w:t>
            </w:r>
            <w:r w:rsidRPr="00533DBA">
              <w:rPr>
                <w:rFonts w:asciiTheme="minorHAnsi" w:hAnsiTheme="minorHAnsi" w:cstheme="minorHAnsi"/>
                <w:sz w:val="18"/>
                <w:szCs w:val="18"/>
                <w:highlight w:val="yellow"/>
              </w:rPr>
              <w:t>-</w:t>
            </w:r>
            <w:r w:rsidR="00533DBA" w:rsidRPr="00533DBA">
              <w:rPr>
                <w:rFonts w:asciiTheme="minorHAnsi" w:hAnsiTheme="minorHAnsi" w:cstheme="minorHAnsi"/>
                <w:sz w:val="18"/>
                <w:szCs w:val="18"/>
                <w:highlight w:val="yellow"/>
              </w:rPr>
              <w:t>0.93</w:t>
            </w:r>
            <w:r w:rsidRPr="00533DBA">
              <w:rPr>
                <w:rFonts w:asciiTheme="minorHAnsi" w:hAnsiTheme="minorHAnsi" w:cstheme="minorHAnsi"/>
                <w:sz w:val="18"/>
                <w:szCs w:val="18"/>
                <w:highlight w:val="yellow"/>
              </w:rPr>
              <w:t>, p</w:t>
            </w:r>
            <w:r w:rsidR="00533DBA" w:rsidRPr="00533DBA">
              <w:rPr>
                <w:rFonts w:asciiTheme="minorHAnsi" w:hAnsiTheme="minorHAnsi" w:cstheme="minorHAnsi"/>
                <w:sz w:val="18"/>
                <w:szCs w:val="18"/>
                <w:highlight w:val="yellow"/>
              </w:rPr>
              <w:t>&lt;0.001</w:t>
            </w:r>
            <w:r w:rsidRPr="00533DBA">
              <w:rPr>
                <w:rFonts w:asciiTheme="minorHAnsi" w:hAnsiTheme="minorHAnsi" w:cstheme="minorHAnsi"/>
                <w:sz w:val="18"/>
                <w:szCs w:val="18"/>
                <w:highlight w:val="yellow"/>
              </w:rPr>
              <w:t>)</w:t>
            </w:r>
          </w:p>
        </w:tc>
        <w:tc>
          <w:tcPr>
            <w:tcW w:w="2250" w:type="dxa"/>
            <w:vAlign w:val="center"/>
          </w:tcPr>
          <w:p w14:paraId="09DF120C" w14:textId="5C2CBCCD" w:rsidR="00090403" w:rsidRPr="009119A5" w:rsidRDefault="00E022E3" w:rsidP="00090403">
            <w:pPr>
              <w:pStyle w:val="NoSpacing"/>
              <w:rPr>
                <w:rFonts w:asciiTheme="minorHAnsi" w:hAnsiTheme="minorHAnsi" w:cstheme="minorHAnsi"/>
                <w:sz w:val="18"/>
                <w:szCs w:val="18"/>
              </w:rPr>
            </w:pPr>
            <w:r w:rsidRPr="00E022E3">
              <w:rPr>
                <w:rFonts w:asciiTheme="minorHAnsi" w:hAnsiTheme="minorHAnsi" w:cstheme="minorHAnsi"/>
                <w:sz w:val="18"/>
                <w:szCs w:val="18"/>
                <w:highlight w:val="yellow"/>
              </w:rPr>
              <w:t>0.</w:t>
            </w:r>
            <w:r w:rsidR="00533DBA">
              <w:rPr>
                <w:rFonts w:asciiTheme="minorHAnsi" w:hAnsiTheme="minorHAnsi" w:cstheme="minorHAnsi"/>
                <w:sz w:val="18"/>
                <w:szCs w:val="18"/>
                <w:highlight w:val="yellow"/>
              </w:rPr>
              <w:t>89</w:t>
            </w:r>
            <w:r w:rsidRPr="00E022E3">
              <w:rPr>
                <w:rFonts w:asciiTheme="minorHAnsi" w:hAnsiTheme="minorHAnsi" w:cstheme="minorHAnsi"/>
                <w:sz w:val="18"/>
                <w:szCs w:val="18"/>
                <w:highlight w:val="yellow"/>
              </w:rPr>
              <w:t xml:space="preserve"> (0.8</w:t>
            </w:r>
            <w:r w:rsidR="00533DBA">
              <w:rPr>
                <w:rFonts w:asciiTheme="minorHAnsi" w:hAnsiTheme="minorHAnsi" w:cstheme="minorHAnsi"/>
                <w:sz w:val="18"/>
                <w:szCs w:val="18"/>
                <w:highlight w:val="yellow"/>
              </w:rPr>
              <w:t>3</w:t>
            </w:r>
            <w:r w:rsidRPr="00E022E3">
              <w:rPr>
                <w:rFonts w:asciiTheme="minorHAnsi" w:hAnsiTheme="minorHAnsi" w:cstheme="minorHAnsi"/>
                <w:sz w:val="18"/>
                <w:szCs w:val="18"/>
                <w:highlight w:val="yellow"/>
              </w:rPr>
              <w:t>-0.9</w:t>
            </w:r>
            <w:r w:rsidR="00533DBA">
              <w:rPr>
                <w:rFonts w:asciiTheme="minorHAnsi" w:hAnsiTheme="minorHAnsi" w:cstheme="minorHAnsi"/>
                <w:sz w:val="18"/>
                <w:szCs w:val="18"/>
                <w:highlight w:val="yellow"/>
              </w:rPr>
              <w:t>4</w:t>
            </w:r>
            <w:r w:rsidRPr="00E022E3">
              <w:rPr>
                <w:rFonts w:asciiTheme="minorHAnsi" w:hAnsiTheme="minorHAnsi" w:cstheme="minorHAnsi"/>
                <w:sz w:val="18"/>
                <w:szCs w:val="18"/>
                <w:highlight w:val="yellow"/>
              </w:rPr>
              <w:t>, p&lt;0.001)</w:t>
            </w:r>
          </w:p>
        </w:tc>
      </w:tr>
      <w:tr w:rsidR="00D3516A" w:rsidRPr="009119A5" w14:paraId="7176D811" w14:textId="77777777" w:rsidTr="001A0AAD">
        <w:trPr>
          <w:trHeight w:val="288"/>
        </w:trPr>
        <w:tc>
          <w:tcPr>
            <w:tcW w:w="2790" w:type="dxa"/>
            <w:vAlign w:val="center"/>
          </w:tcPr>
          <w:p w14:paraId="7E8B8A82" w14:textId="0394BBE3" w:rsidR="00D3516A" w:rsidRPr="009119A5" w:rsidRDefault="00D3516A" w:rsidP="00D3516A">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sidR="009119A5">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4A4D96C3" w14:textId="17E1C2B6"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6</w:t>
            </w:r>
            <w:r>
              <w:rPr>
                <w:rFonts w:asciiTheme="minorHAnsi" w:hAnsiTheme="minorHAnsi" w:cstheme="minorHAnsi"/>
                <w:sz w:val="18"/>
                <w:szCs w:val="18"/>
              </w:rPr>
              <w:t>.</w:t>
            </w:r>
            <w:r w:rsidR="00533DBA">
              <w:rPr>
                <w:rFonts w:asciiTheme="minorHAnsi" w:hAnsiTheme="minorHAnsi" w:cstheme="minorHAnsi"/>
                <w:sz w:val="18"/>
                <w:szCs w:val="18"/>
              </w:rPr>
              <w:t>7</w:t>
            </w:r>
            <w:r>
              <w:rPr>
                <w:rFonts w:asciiTheme="minorHAnsi" w:hAnsiTheme="minorHAnsi" w:cstheme="minorHAnsi"/>
                <w:sz w:val="18"/>
                <w:szCs w:val="18"/>
              </w:rPr>
              <w:t xml:space="preserve"> (</w:t>
            </w:r>
            <w:r w:rsidR="00533DBA">
              <w:rPr>
                <w:rFonts w:asciiTheme="minorHAnsi" w:hAnsiTheme="minorHAnsi" w:cstheme="minorHAnsi"/>
                <w:sz w:val="18"/>
                <w:szCs w:val="18"/>
              </w:rPr>
              <w:t>2.9</w:t>
            </w:r>
            <w:r>
              <w:rPr>
                <w:rFonts w:asciiTheme="minorHAnsi" w:hAnsiTheme="minorHAnsi" w:cstheme="minorHAnsi"/>
                <w:sz w:val="18"/>
                <w:szCs w:val="18"/>
              </w:rPr>
              <w:t>)</w:t>
            </w:r>
          </w:p>
        </w:tc>
        <w:tc>
          <w:tcPr>
            <w:tcW w:w="1530" w:type="dxa"/>
            <w:gridSpan w:val="3"/>
            <w:vAlign w:val="center"/>
          </w:tcPr>
          <w:p w14:paraId="1D9D824C" w14:textId="50104AB7"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7</w:t>
            </w:r>
            <w:r>
              <w:rPr>
                <w:rFonts w:asciiTheme="minorHAnsi" w:hAnsiTheme="minorHAnsi" w:cstheme="minorHAnsi"/>
                <w:sz w:val="18"/>
                <w:szCs w:val="18"/>
              </w:rPr>
              <w:t>.5 (3</w:t>
            </w:r>
            <w:r w:rsidR="00533DBA">
              <w:rPr>
                <w:rFonts w:asciiTheme="minorHAnsi" w:hAnsiTheme="minorHAnsi" w:cstheme="minorHAnsi"/>
                <w:sz w:val="18"/>
                <w:szCs w:val="18"/>
              </w:rPr>
              <w:t>.1</w:t>
            </w:r>
            <w:r>
              <w:rPr>
                <w:rFonts w:asciiTheme="minorHAnsi" w:hAnsiTheme="minorHAnsi" w:cstheme="minorHAnsi"/>
                <w:sz w:val="18"/>
                <w:szCs w:val="18"/>
              </w:rPr>
              <w:t>)</w:t>
            </w:r>
          </w:p>
        </w:tc>
        <w:tc>
          <w:tcPr>
            <w:tcW w:w="2340" w:type="dxa"/>
            <w:vAlign w:val="center"/>
          </w:tcPr>
          <w:p w14:paraId="3E9C4DB7" w14:textId="6E2608CA" w:rsidR="00D3516A" w:rsidRPr="009119A5" w:rsidRDefault="00E022E3" w:rsidP="00090403">
            <w:pPr>
              <w:pStyle w:val="NoSpacing"/>
              <w:rPr>
                <w:rFonts w:asciiTheme="minorHAnsi" w:hAnsiTheme="minorHAnsi" w:cstheme="minorHAnsi"/>
                <w:sz w:val="18"/>
                <w:szCs w:val="18"/>
              </w:rPr>
            </w:pPr>
            <w:r w:rsidRPr="00533DBA">
              <w:rPr>
                <w:rFonts w:asciiTheme="minorHAnsi" w:hAnsiTheme="minorHAnsi" w:cstheme="minorHAnsi"/>
                <w:sz w:val="18"/>
                <w:szCs w:val="18"/>
                <w:highlight w:val="yellow"/>
              </w:rPr>
              <w:t>1.0</w:t>
            </w:r>
            <w:r w:rsidR="00533DBA" w:rsidRPr="00533DBA">
              <w:rPr>
                <w:rFonts w:asciiTheme="minorHAnsi" w:hAnsiTheme="minorHAnsi" w:cstheme="minorHAnsi"/>
                <w:sz w:val="18"/>
                <w:szCs w:val="18"/>
                <w:highlight w:val="yellow"/>
              </w:rPr>
              <w:t>9</w:t>
            </w:r>
            <w:r w:rsidRPr="00533DBA">
              <w:rPr>
                <w:rFonts w:asciiTheme="minorHAnsi" w:hAnsiTheme="minorHAnsi" w:cstheme="minorHAnsi"/>
                <w:sz w:val="18"/>
                <w:szCs w:val="18"/>
                <w:highlight w:val="yellow"/>
              </w:rPr>
              <w:t xml:space="preserve"> (</w:t>
            </w:r>
            <w:r w:rsidR="00533DBA" w:rsidRPr="00533DBA">
              <w:rPr>
                <w:rFonts w:asciiTheme="minorHAnsi" w:hAnsiTheme="minorHAnsi" w:cstheme="minorHAnsi"/>
                <w:sz w:val="18"/>
                <w:szCs w:val="18"/>
                <w:highlight w:val="yellow"/>
              </w:rPr>
              <w:t>1</w:t>
            </w:r>
            <w:r w:rsidRPr="00533DBA">
              <w:rPr>
                <w:rFonts w:asciiTheme="minorHAnsi" w:hAnsiTheme="minorHAnsi" w:cstheme="minorHAnsi"/>
                <w:sz w:val="18"/>
                <w:szCs w:val="18"/>
                <w:highlight w:val="yellow"/>
              </w:rPr>
              <w:t>.</w:t>
            </w:r>
            <w:r w:rsidR="00533DBA" w:rsidRPr="00533DBA">
              <w:rPr>
                <w:rFonts w:asciiTheme="minorHAnsi" w:hAnsiTheme="minorHAnsi" w:cstheme="minorHAnsi"/>
                <w:sz w:val="18"/>
                <w:szCs w:val="18"/>
                <w:highlight w:val="yellow"/>
              </w:rPr>
              <w:t>03</w:t>
            </w:r>
            <w:r w:rsidRPr="00533DBA">
              <w:rPr>
                <w:rFonts w:asciiTheme="minorHAnsi" w:hAnsiTheme="minorHAnsi" w:cstheme="minorHAnsi"/>
                <w:sz w:val="18"/>
                <w:szCs w:val="18"/>
                <w:highlight w:val="yellow"/>
              </w:rPr>
              <w:t>-1.1</w:t>
            </w:r>
            <w:r w:rsidR="00533DBA" w:rsidRPr="00533DBA">
              <w:rPr>
                <w:rFonts w:asciiTheme="minorHAnsi" w:hAnsiTheme="minorHAnsi" w:cstheme="minorHAnsi"/>
                <w:sz w:val="18"/>
                <w:szCs w:val="18"/>
                <w:highlight w:val="yellow"/>
              </w:rPr>
              <w:t>7</w:t>
            </w:r>
            <w:r w:rsidRPr="00533DBA">
              <w:rPr>
                <w:rFonts w:asciiTheme="minorHAnsi" w:hAnsiTheme="minorHAnsi" w:cstheme="minorHAnsi"/>
                <w:sz w:val="18"/>
                <w:szCs w:val="18"/>
                <w:highlight w:val="yellow"/>
              </w:rPr>
              <w:t>, p=0.</w:t>
            </w:r>
            <w:r w:rsidR="00533DBA">
              <w:rPr>
                <w:rFonts w:asciiTheme="minorHAnsi" w:hAnsiTheme="minorHAnsi" w:cstheme="minorHAnsi"/>
                <w:sz w:val="18"/>
                <w:szCs w:val="18"/>
                <w:highlight w:val="yellow"/>
              </w:rPr>
              <w:t>0</w:t>
            </w:r>
            <w:r w:rsidR="00533DBA" w:rsidRPr="00533DBA">
              <w:rPr>
                <w:rFonts w:asciiTheme="minorHAnsi" w:hAnsiTheme="minorHAnsi" w:cstheme="minorHAnsi"/>
                <w:sz w:val="18"/>
                <w:szCs w:val="18"/>
                <w:highlight w:val="yellow"/>
              </w:rPr>
              <w:t>05</w:t>
            </w:r>
            <w:r w:rsidRPr="00533DBA">
              <w:rPr>
                <w:rFonts w:asciiTheme="minorHAnsi" w:hAnsiTheme="minorHAnsi" w:cstheme="minorHAnsi"/>
                <w:sz w:val="18"/>
                <w:szCs w:val="18"/>
                <w:highlight w:val="yellow"/>
              </w:rPr>
              <w:t>)</w:t>
            </w:r>
          </w:p>
        </w:tc>
        <w:tc>
          <w:tcPr>
            <w:tcW w:w="2250" w:type="dxa"/>
            <w:vAlign w:val="center"/>
          </w:tcPr>
          <w:p w14:paraId="0D5E307D" w14:textId="46437FBB"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1.03 (0.9</w:t>
            </w:r>
            <w:r w:rsidR="00533DBA">
              <w:rPr>
                <w:rFonts w:asciiTheme="minorHAnsi" w:hAnsiTheme="minorHAnsi" w:cstheme="minorHAnsi"/>
                <w:sz w:val="18"/>
                <w:szCs w:val="18"/>
              </w:rPr>
              <w:t>3</w:t>
            </w:r>
            <w:r>
              <w:rPr>
                <w:rFonts w:asciiTheme="minorHAnsi" w:hAnsiTheme="minorHAnsi" w:cstheme="minorHAnsi"/>
                <w:sz w:val="18"/>
                <w:szCs w:val="18"/>
              </w:rPr>
              <w:t>-1.1</w:t>
            </w:r>
            <w:r w:rsidR="00533DBA">
              <w:rPr>
                <w:rFonts w:asciiTheme="minorHAnsi" w:hAnsiTheme="minorHAnsi" w:cstheme="minorHAnsi"/>
                <w:sz w:val="18"/>
                <w:szCs w:val="18"/>
              </w:rPr>
              <w:t>3</w:t>
            </w:r>
            <w:r>
              <w:rPr>
                <w:rFonts w:asciiTheme="minorHAnsi" w:hAnsiTheme="minorHAnsi" w:cstheme="minorHAnsi"/>
                <w:sz w:val="18"/>
                <w:szCs w:val="18"/>
              </w:rPr>
              <w:t>, p=0.</w:t>
            </w:r>
            <w:r w:rsidR="00533DBA">
              <w:rPr>
                <w:rFonts w:asciiTheme="minorHAnsi" w:hAnsiTheme="minorHAnsi" w:cstheme="minorHAnsi"/>
                <w:sz w:val="18"/>
                <w:szCs w:val="18"/>
              </w:rPr>
              <w:t>6</w:t>
            </w:r>
            <w:r w:rsidR="00DC3CB6">
              <w:rPr>
                <w:rFonts w:asciiTheme="minorHAnsi" w:hAnsiTheme="minorHAnsi" w:cstheme="minorHAnsi"/>
                <w:sz w:val="18"/>
                <w:szCs w:val="18"/>
              </w:rPr>
              <w:t>1</w:t>
            </w:r>
            <w:r>
              <w:rPr>
                <w:rFonts w:asciiTheme="minorHAnsi" w:hAnsiTheme="minorHAnsi" w:cstheme="minorHAnsi"/>
                <w:sz w:val="18"/>
                <w:szCs w:val="18"/>
              </w:rPr>
              <w:t>)</w:t>
            </w:r>
          </w:p>
        </w:tc>
      </w:tr>
      <w:tr w:rsidR="00090403" w:rsidRPr="009119A5" w14:paraId="67383C7B" w14:textId="77777777" w:rsidTr="001A0AAD">
        <w:trPr>
          <w:trHeight w:val="288"/>
        </w:trPr>
        <w:tc>
          <w:tcPr>
            <w:tcW w:w="2790" w:type="dxa"/>
            <w:vAlign w:val="center"/>
          </w:tcPr>
          <w:p w14:paraId="728F615F" w14:textId="153B28A2" w:rsidR="00090403" w:rsidRPr="009119A5" w:rsidRDefault="00D3516A" w:rsidP="00D3516A">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sidR="009119A5">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01976F01" w14:textId="77A73192" w:rsidR="00090403" w:rsidRPr="009119A5" w:rsidRDefault="00533DBA" w:rsidP="00090403">
            <w:pPr>
              <w:pStyle w:val="NoSpacing"/>
              <w:rPr>
                <w:rFonts w:asciiTheme="minorHAnsi" w:hAnsiTheme="minorHAnsi" w:cstheme="minorHAnsi"/>
                <w:sz w:val="18"/>
                <w:szCs w:val="18"/>
              </w:rPr>
            </w:pPr>
            <w:r>
              <w:rPr>
                <w:rFonts w:asciiTheme="minorHAnsi" w:hAnsiTheme="minorHAnsi" w:cstheme="minorHAnsi"/>
                <w:sz w:val="18"/>
                <w:szCs w:val="18"/>
              </w:rPr>
              <w:t>37.0</w:t>
            </w:r>
            <w:r w:rsidR="00E022E3">
              <w:rPr>
                <w:rFonts w:asciiTheme="minorHAnsi" w:hAnsiTheme="minorHAnsi" w:cstheme="minorHAnsi"/>
                <w:sz w:val="18"/>
                <w:szCs w:val="18"/>
              </w:rPr>
              <w:t xml:space="preserve"> (</w:t>
            </w:r>
            <w:r>
              <w:rPr>
                <w:rFonts w:asciiTheme="minorHAnsi" w:hAnsiTheme="minorHAnsi" w:cstheme="minorHAnsi"/>
                <w:sz w:val="18"/>
                <w:szCs w:val="18"/>
              </w:rPr>
              <w:t>4.1</w:t>
            </w:r>
            <w:r w:rsidR="00E022E3">
              <w:rPr>
                <w:rFonts w:asciiTheme="minorHAnsi" w:hAnsiTheme="minorHAnsi" w:cstheme="minorHAnsi"/>
                <w:sz w:val="18"/>
                <w:szCs w:val="18"/>
              </w:rPr>
              <w:t>)</w:t>
            </w:r>
          </w:p>
        </w:tc>
        <w:tc>
          <w:tcPr>
            <w:tcW w:w="1530" w:type="dxa"/>
            <w:gridSpan w:val="3"/>
            <w:vAlign w:val="center"/>
          </w:tcPr>
          <w:p w14:paraId="298A25A6" w14:textId="71C48AC3" w:rsidR="00090403" w:rsidRPr="009119A5" w:rsidRDefault="00533DBA" w:rsidP="00090403">
            <w:pPr>
              <w:pStyle w:val="NoSpacing"/>
              <w:rPr>
                <w:rFonts w:asciiTheme="minorHAnsi" w:hAnsiTheme="minorHAnsi" w:cstheme="minorHAnsi"/>
                <w:sz w:val="18"/>
                <w:szCs w:val="18"/>
              </w:rPr>
            </w:pPr>
            <w:r>
              <w:rPr>
                <w:rFonts w:asciiTheme="minorHAnsi" w:hAnsiTheme="minorHAnsi" w:cstheme="minorHAnsi"/>
                <w:sz w:val="18"/>
                <w:szCs w:val="18"/>
              </w:rPr>
              <w:t>37</w:t>
            </w:r>
            <w:r w:rsidR="00E022E3">
              <w:rPr>
                <w:rFonts w:asciiTheme="minorHAnsi" w:hAnsiTheme="minorHAnsi" w:cstheme="minorHAnsi"/>
                <w:sz w:val="18"/>
                <w:szCs w:val="18"/>
              </w:rPr>
              <w:t>.</w:t>
            </w:r>
            <w:r>
              <w:rPr>
                <w:rFonts w:asciiTheme="minorHAnsi" w:hAnsiTheme="minorHAnsi" w:cstheme="minorHAnsi"/>
                <w:sz w:val="18"/>
                <w:szCs w:val="18"/>
              </w:rPr>
              <w:t>8</w:t>
            </w:r>
            <w:r w:rsidR="00E022E3">
              <w:rPr>
                <w:rFonts w:asciiTheme="minorHAnsi" w:hAnsiTheme="minorHAnsi" w:cstheme="minorHAnsi"/>
                <w:sz w:val="18"/>
                <w:szCs w:val="18"/>
              </w:rPr>
              <w:t xml:space="preserve"> (</w:t>
            </w:r>
            <w:r>
              <w:rPr>
                <w:rFonts w:asciiTheme="minorHAnsi" w:hAnsiTheme="minorHAnsi" w:cstheme="minorHAnsi"/>
                <w:sz w:val="18"/>
                <w:szCs w:val="18"/>
              </w:rPr>
              <w:t>4.3</w:t>
            </w:r>
            <w:r w:rsidR="00E022E3">
              <w:rPr>
                <w:rFonts w:asciiTheme="minorHAnsi" w:hAnsiTheme="minorHAnsi" w:cstheme="minorHAnsi"/>
                <w:sz w:val="18"/>
                <w:szCs w:val="18"/>
              </w:rPr>
              <w:t>)</w:t>
            </w:r>
          </w:p>
        </w:tc>
        <w:tc>
          <w:tcPr>
            <w:tcW w:w="2340" w:type="dxa"/>
            <w:vAlign w:val="center"/>
          </w:tcPr>
          <w:p w14:paraId="33D31232" w14:textId="268814FB"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w:t>
            </w:r>
            <w:r w:rsidR="00533DBA">
              <w:rPr>
                <w:rFonts w:asciiTheme="minorHAnsi" w:hAnsiTheme="minorHAnsi" w:cstheme="minorHAnsi"/>
                <w:sz w:val="18"/>
                <w:szCs w:val="18"/>
              </w:rPr>
              <w:t>4</w:t>
            </w:r>
            <w:r>
              <w:rPr>
                <w:rFonts w:asciiTheme="minorHAnsi" w:hAnsiTheme="minorHAnsi" w:cstheme="minorHAnsi"/>
                <w:sz w:val="18"/>
                <w:szCs w:val="18"/>
              </w:rPr>
              <w:t xml:space="preserve"> (0.99-1.0</w:t>
            </w:r>
            <w:r w:rsidR="00533DBA">
              <w:rPr>
                <w:rFonts w:asciiTheme="minorHAnsi" w:hAnsiTheme="minorHAnsi" w:cstheme="minorHAnsi"/>
                <w:sz w:val="18"/>
                <w:szCs w:val="18"/>
              </w:rPr>
              <w:t>9</w:t>
            </w:r>
            <w:r>
              <w:rPr>
                <w:rFonts w:asciiTheme="minorHAnsi" w:hAnsiTheme="minorHAnsi" w:cstheme="minorHAnsi"/>
                <w:sz w:val="18"/>
                <w:szCs w:val="18"/>
              </w:rPr>
              <w:t>, p=0.</w:t>
            </w:r>
            <w:r w:rsidR="00533DBA">
              <w:rPr>
                <w:rFonts w:asciiTheme="minorHAnsi" w:hAnsiTheme="minorHAnsi" w:cstheme="minorHAnsi"/>
                <w:sz w:val="18"/>
                <w:szCs w:val="18"/>
              </w:rPr>
              <w:t>08</w:t>
            </w:r>
            <w:r>
              <w:rPr>
                <w:rFonts w:asciiTheme="minorHAnsi" w:hAnsiTheme="minorHAnsi" w:cstheme="minorHAnsi"/>
                <w:sz w:val="18"/>
                <w:szCs w:val="18"/>
              </w:rPr>
              <w:t>)</w:t>
            </w:r>
          </w:p>
        </w:tc>
        <w:tc>
          <w:tcPr>
            <w:tcW w:w="2250" w:type="dxa"/>
            <w:vAlign w:val="center"/>
          </w:tcPr>
          <w:p w14:paraId="436DD2AE" w14:textId="4D99B82D"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1.03 (0.9</w:t>
            </w:r>
            <w:r w:rsidR="00533DBA">
              <w:rPr>
                <w:rFonts w:asciiTheme="minorHAnsi" w:hAnsiTheme="minorHAnsi" w:cstheme="minorHAnsi"/>
                <w:sz w:val="18"/>
                <w:szCs w:val="18"/>
              </w:rPr>
              <w:t>6</w:t>
            </w:r>
            <w:r>
              <w:rPr>
                <w:rFonts w:asciiTheme="minorHAnsi" w:hAnsiTheme="minorHAnsi" w:cstheme="minorHAnsi"/>
                <w:sz w:val="18"/>
                <w:szCs w:val="18"/>
              </w:rPr>
              <w:t>-1.</w:t>
            </w:r>
            <w:r w:rsidR="00533DBA">
              <w:rPr>
                <w:rFonts w:asciiTheme="minorHAnsi" w:hAnsiTheme="minorHAnsi" w:cstheme="minorHAnsi"/>
                <w:sz w:val="18"/>
                <w:szCs w:val="18"/>
              </w:rPr>
              <w:t>10</w:t>
            </w:r>
            <w:r>
              <w:rPr>
                <w:rFonts w:asciiTheme="minorHAnsi" w:hAnsiTheme="minorHAnsi" w:cstheme="minorHAnsi"/>
                <w:sz w:val="18"/>
                <w:szCs w:val="18"/>
              </w:rPr>
              <w:t>, p=0.</w:t>
            </w:r>
            <w:r w:rsidR="00533DBA">
              <w:rPr>
                <w:rFonts w:asciiTheme="minorHAnsi" w:hAnsiTheme="minorHAnsi" w:cstheme="minorHAnsi"/>
                <w:sz w:val="18"/>
                <w:szCs w:val="18"/>
              </w:rPr>
              <w:t>38</w:t>
            </w:r>
            <w:r>
              <w:rPr>
                <w:rFonts w:asciiTheme="minorHAnsi" w:hAnsiTheme="minorHAnsi" w:cstheme="minorHAnsi"/>
                <w:sz w:val="18"/>
                <w:szCs w:val="18"/>
              </w:rPr>
              <w:t>)</w:t>
            </w:r>
          </w:p>
        </w:tc>
      </w:tr>
      <w:tr w:rsidR="00D3516A" w:rsidRPr="009119A5" w14:paraId="728D8F7F" w14:textId="77777777" w:rsidTr="001A0AAD">
        <w:trPr>
          <w:trHeight w:val="288"/>
        </w:trPr>
        <w:tc>
          <w:tcPr>
            <w:tcW w:w="2790" w:type="dxa"/>
            <w:vAlign w:val="center"/>
          </w:tcPr>
          <w:p w14:paraId="235FB329" w14:textId="57943450" w:rsidR="00D3516A" w:rsidRPr="009119A5" w:rsidRDefault="00D3516A" w:rsidP="00D3516A">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2968EA63" w14:textId="18B9DA6A"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129.1 (11.6)</w:t>
            </w:r>
          </w:p>
        </w:tc>
        <w:tc>
          <w:tcPr>
            <w:tcW w:w="1530" w:type="dxa"/>
            <w:gridSpan w:val="3"/>
            <w:vAlign w:val="center"/>
          </w:tcPr>
          <w:p w14:paraId="38F49E2C" w14:textId="778DDDC2"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128.2 (11.7)</w:t>
            </w:r>
          </w:p>
        </w:tc>
        <w:tc>
          <w:tcPr>
            <w:tcW w:w="2340" w:type="dxa"/>
            <w:vAlign w:val="center"/>
          </w:tcPr>
          <w:p w14:paraId="1B64DF65" w14:textId="0BA21ABE"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0.99 (0.98-1.01, p=0.46)</w:t>
            </w:r>
          </w:p>
        </w:tc>
        <w:tc>
          <w:tcPr>
            <w:tcW w:w="2250" w:type="dxa"/>
            <w:vAlign w:val="center"/>
          </w:tcPr>
          <w:p w14:paraId="07DADE44" w14:textId="1D3B6BC5" w:rsidR="00D3516A"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1.00 (0.98-1.02, p=0.</w:t>
            </w:r>
            <w:r w:rsidR="00533DBA">
              <w:rPr>
                <w:rFonts w:asciiTheme="minorHAnsi" w:hAnsiTheme="minorHAnsi" w:cstheme="minorHAnsi"/>
                <w:sz w:val="18"/>
                <w:szCs w:val="18"/>
              </w:rPr>
              <w:t>79</w:t>
            </w:r>
            <w:r>
              <w:rPr>
                <w:rFonts w:asciiTheme="minorHAnsi" w:hAnsiTheme="minorHAnsi" w:cstheme="minorHAnsi"/>
                <w:sz w:val="18"/>
                <w:szCs w:val="18"/>
              </w:rPr>
              <w:t>)</w:t>
            </w:r>
          </w:p>
        </w:tc>
      </w:tr>
      <w:tr w:rsidR="00090403" w:rsidRPr="009119A5" w14:paraId="0B8BFC5B" w14:textId="77777777" w:rsidTr="001A0AAD">
        <w:trPr>
          <w:trHeight w:val="288"/>
        </w:trPr>
        <w:tc>
          <w:tcPr>
            <w:tcW w:w="2790" w:type="dxa"/>
            <w:vAlign w:val="center"/>
          </w:tcPr>
          <w:p w14:paraId="737525FA" w14:textId="0D327264" w:rsidR="00090403" w:rsidRPr="009119A5" w:rsidRDefault="00D3516A" w:rsidP="00D3516A">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703EEC37" w14:textId="130F50D9"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55.5 (12.2)</w:t>
            </w:r>
          </w:p>
        </w:tc>
        <w:tc>
          <w:tcPr>
            <w:tcW w:w="1530" w:type="dxa"/>
            <w:gridSpan w:val="3"/>
            <w:vAlign w:val="center"/>
          </w:tcPr>
          <w:p w14:paraId="38F8F8AF" w14:textId="759C5A61"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56.7 (12.2)</w:t>
            </w:r>
          </w:p>
        </w:tc>
        <w:tc>
          <w:tcPr>
            <w:tcW w:w="2340" w:type="dxa"/>
            <w:vAlign w:val="center"/>
          </w:tcPr>
          <w:p w14:paraId="42693168" w14:textId="64E8AB03"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1.01 (0.99-1.02, p=0.31)</w:t>
            </w:r>
          </w:p>
        </w:tc>
        <w:tc>
          <w:tcPr>
            <w:tcW w:w="2250" w:type="dxa"/>
            <w:vAlign w:val="center"/>
          </w:tcPr>
          <w:p w14:paraId="589948D5" w14:textId="4CF57093" w:rsidR="00090403"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1.01 (0.99-1.03, p=0.2</w:t>
            </w:r>
            <w:r w:rsidR="00533DBA">
              <w:rPr>
                <w:rFonts w:asciiTheme="minorHAnsi" w:hAnsiTheme="minorHAnsi" w:cstheme="minorHAnsi"/>
                <w:sz w:val="18"/>
                <w:szCs w:val="18"/>
              </w:rPr>
              <w:t>7</w:t>
            </w:r>
            <w:r>
              <w:rPr>
                <w:rFonts w:asciiTheme="minorHAnsi" w:hAnsiTheme="minorHAnsi" w:cstheme="minorHAnsi"/>
                <w:sz w:val="18"/>
                <w:szCs w:val="18"/>
              </w:rPr>
              <w:t>)</w:t>
            </w:r>
          </w:p>
        </w:tc>
      </w:tr>
      <w:tr w:rsidR="009119A5" w:rsidRPr="009119A5" w14:paraId="5AB26F43" w14:textId="77777777" w:rsidTr="001A0AAD">
        <w:trPr>
          <w:trHeight w:val="288"/>
        </w:trPr>
        <w:tc>
          <w:tcPr>
            <w:tcW w:w="2790" w:type="dxa"/>
            <w:vAlign w:val="center"/>
          </w:tcPr>
          <w:p w14:paraId="46199DB2" w14:textId="755D7A44" w:rsidR="009119A5" w:rsidRPr="009119A5" w:rsidRDefault="009119A5" w:rsidP="00D3516A">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5FC39412" w14:textId="61CE23AA" w:rsidR="009119A5"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42.0 (21.2)</w:t>
            </w:r>
          </w:p>
        </w:tc>
        <w:tc>
          <w:tcPr>
            <w:tcW w:w="1530" w:type="dxa"/>
            <w:gridSpan w:val="3"/>
            <w:vAlign w:val="center"/>
          </w:tcPr>
          <w:p w14:paraId="6D1471A5" w14:textId="1F91D0DA" w:rsidR="009119A5" w:rsidRPr="009119A5" w:rsidRDefault="00E022E3" w:rsidP="00090403">
            <w:pPr>
              <w:pStyle w:val="NoSpacing"/>
              <w:rPr>
                <w:rFonts w:asciiTheme="minorHAnsi" w:hAnsiTheme="minorHAnsi" w:cstheme="minorHAnsi"/>
                <w:sz w:val="18"/>
                <w:szCs w:val="18"/>
              </w:rPr>
            </w:pPr>
            <w:r>
              <w:rPr>
                <w:rFonts w:asciiTheme="minorHAnsi" w:hAnsiTheme="minorHAnsi" w:cstheme="minorHAnsi"/>
                <w:sz w:val="18"/>
                <w:szCs w:val="18"/>
              </w:rPr>
              <w:t>48.8 (27.4)</w:t>
            </w:r>
          </w:p>
        </w:tc>
        <w:tc>
          <w:tcPr>
            <w:tcW w:w="2340" w:type="dxa"/>
            <w:vAlign w:val="center"/>
          </w:tcPr>
          <w:p w14:paraId="4458B17D" w14:textId="3FC529BA" w:rsidR="009119A5" w:rsidRPr="00E022E3" w:rsidRDefault="00E022E3" w:rsidP="00090403">
            <w:pPr>
              <w:pStyle w:val="NoSpacing"/>
              <w:rPr>
                <w:rFonts w:asciiTheme="minorHAnsi" w:hAnsiTheme="minorHAnsi" w:cstheme="minorHAnsi"/>
                <w:sz w:val="18"/>
                <w:szCs w:val="18"/>
                <w:highlight w:val="yellow"/>
              </w:rPr>
            </w:pPr>
            <w:r w:rsidRPr="00E022E3">
              <w:rPr>
                <w:rFonts w:asciiTheme="minorHAnsi" w:hAnsiTheme="minorHAnsi" w:cstheme="minorHAnsi"/>
                <w:sz w:val="18"/>
                <w:szCs w:val="18"/>
                <w:highlight w:val="yellow"/>
              </w:rPr>
              <w:t>1.01 (1.00-1.02, p=0.004)</w:t>
            </w:r>
          </w:p>
        </w:tc>
        <w:tc>
          <w:tcPr>
            <w:tcW w:w="2250" w:type="dxa"/>
            <w:vAlign w:val="center"/>
          </w:tcPr>
          <w:p w14:paraId="199DEDA4" w14:textId="1B2E2425" w:rsidR="009119A5" w:rsidRPr="00E022E3" w:rsidRDefault="00E022E3" w:rsidP="00090403">
            <w:pPr>
              <w:pStyle w:val="NoSpacing"/>
              <w:rPr>
                <w:rFonts w:asciiTheme="minorHAnsi" w:hAnsiTheme="minorHAnsi" w:cstheme="minorHAnsi"/>
                <w:sz w:val="18"/>
                <w:szCs w:val="18"/>
                <w:highlight w:val="yellow"/>
              </w:rPr>
            </w:pPr>
            <w:r w:rsidRPr="00E022E3">
              <w:rPr>
                <w:rFonts w:asciiTheme="minorHAnsi" w:hAnsiTheme="minorHAnsi" w:cstheme="minorHAnsi"/>
                <w:sz w:val="18"/>
                <w:szCs w:val="18"/>
                <w:highlight w:val="yellow"/>
              </w:rPr>
              <w:t>1.02 (1.01-1.03, p&lt;0.001)</w:t>
            </w:r>
          </w:p>
        </w:tc>
      </w:tr>
      <w:tr w:rsidR="001A0AAD" w:rsidRPr="009119A5" w14:paraId="4EB69D77" w14:textId="77777777" w:rsidTr="001A0AAD">
        <w:trPr>
          <w:trHeight w:val="288"/>
        </w:trPr>
        <w:tc>
          <w:tcPr>
            <w:tcW w:w="2790" w:type="dxa"/>
            <w:vAlign w:val="center"/>
          </w:tcPr>
          <w:p w14:paraId="780724B0" w14:textId="4E9440CF"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45176993" w14:textId="3FB73004"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170 (78.3%)</w:t>
            </w:r>
          </w:p>
        </w:tc>
        <w:tc>
          <w:tcPr>
            <w:tcW w:w="1530" w:type="dxa"/>
            <w:gridSpan w:val="3"/>
            <w:vAlign w:val="center"/>
          </w:tcPr>
          <w:p w14:paraId="2E3A0D23" w14:textId="71B9EC5B"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47 (21.7%)</w:t>
            </w:r>
          </w:p>
        </w:tc>
        <w:tc>
          <w:tcPr>
            <w:tcW w:w="2340" w:type="dxa"/>
            <w:vAlign w:val="center"/>
          </w:tcPr>
          <w:p w14:paraId="0416BE4D" w14:textId="7CEFB3E4" w:rsidR="001A0AAD" w:rsidRPr="009119A5" w:rsidRDefault="00E022E3" w:rsidP="001A0AAD">
            <w:pPr>
              <w:pStyle w:val="NoSpacing"/>
              <w:rPr>
                <w:rFonts w:asciiTheme="minorHAnsi" w:hAnsiTheme="minorHAnsi" w:cstheme="minorHAnsi"/>
                <w:sz w:val="18"/>
                <w:szCs w:val="18"/>
              </w:rPr>
            </w:pPr>
            <w:r w:rsidRPr="00E022E3">
              <w:rPr>
                <w:rFonts w:asciiTheme="minorHAnsi" w:hAnsiTheme="minorHAnsi" w:cstheme="minorHAnsi"/>
                <w:sz w:val="18"/>
                <w:szCs w:val="18"/>
                <w:highlight w:val="yellow"/>
              </w:rPr>
              <w:t>0.45 (0.21-0.98, p=0.0</w:t>
            </w:r>
            <w:r w:rsidR="00DC3CB6">
              <w:rPr>
                <w:rFonts w:asciiTheme="minorHAnsi" w:hAnsiTheme="minorHAnsi" w:cstheme="minorHAnsi"/>
                <w:sz w:val="18"/>
                <w:szCs w:val="18"/>
                <w:highlight w:val="yellow"/>
              </w:rPr>
              <w:t>4</w:t>
            </w:r>
            <w:r w:rsidRPr="00E022E3">
              <w:rPr>
                <w:rFonts w:asciiTheme="minorHAnsi" w:hAnsiTheme="minorHAnsi" w:cstheme="minorHAnsi"/>
                <w:sz w:val="18"/>
                <w:szCs w:val="18"/>
                <w:highlight w:val="yellow"/>
              </w:rPr>
              <w:t>)</w:t>
            </w:r>
          </w:p>
        </w:tc>
        <w:tc>
          <w:tcPr>
            <w:tcW w:w="2250" w:type="dxa"/>
            <w:vAlign w:val="center"/>
          </w:tcPr>
          <w:p w14:paraId="778F477E" w14:textId="247A8C03"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0.</w:t>
            </w:r>
            <w:r w:rsidR="00533DBA">
              <w:rPr>
                <w:rFonts w:asciiTheme="minorHAnsi" w:hAnsiTheme="minorHAnsi" w:cstheme="minorHAnsi"/>
                <w:sz w:val="18"/>
                <w:szCs w:val="18"/>
              </w:rPr>
              <w:t>55 (0.24-1.29, p=0.1</w:t>
            </w:r>
            <w:r w:rsidR="00DC3CB6">
              <w:rPr>
                <w:rFonts w:asciiTheme="minorHAnsi" w:hAnsiTheme="minorHAnsi" w:cstheme="minorHAnsi"/>
                <w:sz w:val="18"/>
                <w:szCs w:val="18"/>
              </w:rPr>
              <w:t>6</w:t>
            </w:r>
            <w:r w:rsidR="00533DBA">
              <w:rPr>
                <w:rFonts w:asciiTheme="minorHAnsi" w:hAnsiTheme="minorHAnsi" w:cstheme="minorHAnsi"/>
                <w:sz w:val="18"/>
                <w:szCs w:val="18"/>
              </w:rPr>
              <w:t>)</w:t>
            </w:r>
          </w:p>
        </w:tc>
      </w:tr>
      <w:tr w:rsidR="001A0AAD" w:rsidRPr="009119A5" w14:paraId="7A0D45B9" w14:textId="77777777" w:rsidTr="001A0AAD">
        <w:trPr>
          <w:trHeight w:val="288"/>
        </w:trPr>
        <w:tc>
          <w:tcPr>
            <w:tcW w:w="2790" w:type="dxa"/>
            <w:vAlign w:val="center"/>
          </w:tcPr>
          <w:p w14:paraId="436B0FE1" w14:textId="28872269"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7D4CF5D0" w14:textId="5D0DD4A0"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150 (67.6%)</w:t>
            </w:r>
          </w:p>
        </w:tc>
        <w:tc>
          <w:tcPr>
            <w:tcW w:w="1530" w:type="dxa"/>
            <w:gridSpan w:val="3"/>
            <w:vAlign w:val="center"/>
          </w:tcPr>
          <w:p w14:paraId="0C7F2CEB" w14:textId="38B77A32"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72 (32.4%)</w:t>
            </w:r>
          </w:p>
        </w:tc>
        <w:tc>
          <w:tcPr>
            <w:tcW w:w="2340" w:type="dxa"/>
            <w:vAlign w:val="center"/>
          </w:tcPr>
          <w:p w14:paraId="05EAECB2" w14:textId="74B0FFE1"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0.78 (0.37-1.67, p=0.50)</w:t>
            </w:r>
          </w:p>
        </w:tc>
        <w:tc>
          <w:tcPr>
            <w:tcW w:w="2250" w:type="dxa"/>
            <w:vAlign w:val="center"/>
          </w:tcPr>
          <w:p w14:paraId="20871A6B" w14:textId="0C5A0651"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05 (0.47-2.41, p=0.91)</w:t>
            </w:r>
          </w:p>
        </w:tc>
      </w:tr>
      <w:tr w:rsidR="00E022E3" w:rsidRPr="009119A5" w14:paraId="0B0F4157" w14:textId="77777777" w:rsidTr="001A0AAD">
        <w:trPr>
          <w:trHeight w:val="288"/>
        </w:trPr>
        <w:tc>
          <w:tcPr>
            <w:tcW w:w="2790" w:type="dxa"/>
            <w:vAlign w:val="center"/>
          </w:tcPr>
          <w:p w14:paraId="41929629" w14:textId="3A48961F" w:rsidR="00E022E3"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2F976E59" w14:textId="77777777" w:rsidR="00E022E3" w:rsidRDefault="00E022E3" w:rsidP="001A0AAD">
            <w:pPr>
              <w:pStyle w:val="NoSpacing"/>
              <w:rPr>
                <w:rFonts w:asciiTheme="minorHAnsi" w:hAnsiTheme="minorHAnsi" w:cstheme="minorHAnsi"/>
                <w:sz w:val="18"/>
                <w:szCs w:val="18"/>
              </w:rPr>
            </w:pPr>
          </w:p>
        </w:tc>
        <w:tc>
          <w:tcPr>
            <w:tcW w:w="1530" w:type="dxa"/>
            <w:gridSpan w:val="3"/>
            <w:vAlign w:val="center"/>
          </w:tcPr>
          <w:p w14:paraId="5F7122CC" w14:textId="77777777" w:rsidR="00E022E3" w:rsidRDefault="00E022E3" w:rsidP="001A0AAD">
            <w:pPr>
              <w:pStyle w:val="NoSpacing"/>
              <w:rPr>
                <w:rFonts w:asciiTheme="minorHAnsi" w:hAnsiTheme="minorHAnsi" w:cstheme="minorHAnsi"/>
                <w:sz w:val="18"/>
                <w:szCs w:val="18"/>
              </w:rPr>
            </w:pPr>
          </w:p>
        </w:tc>
        <w:tc>
          <w:tcPr>
            <w:tcW w:w="2340" w:type="dxa"/>
            <w:vAlign w:val="center"/>
          </w:tcPr>
          <w:p w14:paraId="1250DD7B" w14:textId="77777777" w:rsidR="00E022E3" w:rsidRDefault="00E022E3" w:rsidP="001A0AAD">
            <w:pPr>
              <w:pStyle w:val="NoSpacing"/>
              <w:rPr>
                <w:rFonts w:asciiTheme="minorHAnsi" w:hAnsiTheme="minorHAnsi" w:cstheme="minorHAnsi"/>
                <w:sz w:val="18"/>
                <w:szCs w:val="18"/>
              </w:rPr>
            </w:pPr>
          </w:p>
        </w:tc>
        <w:tc>
          <w:tcPr>
            <w:tcW w:w="2250" w:type="dxa"/>
            <w:vAlign w:val="center"/>
          </w:tcPr>
          <w:p w14:paraId="434D6457" w14:textId="77777777" w:rsidR="00E022E3" w:rsidRDefault="00E022E3" w:rsidP="001A0AAD">
            <w:pPr>
              <w:pStyle w:val="NoSpacing"/>
              <w:rPr>
                <w:rFonts w:asciiTheme="minorHAnsi" w:hAnsiTheme="minorHAnsi" w:cstheme="minorHAnsi"/>
                <w:sz w:val="18"/>
                <w:szCs w:val="18"/>
              </w:rPr>
            </w:pPr>
          </w:p>
        </w:tc>
      </w:tr>
      <w:tr w:rsidR="001A0AAD" w:rsidRPr="009119A5" w14:paraId="7B0EF8FC" w14:textId="77777777" w:rsidTr="001A0AAD">
        <w:trPr>
          <w:trHeight w:val="288"/>
        </w:trPr>
        <w:tc>
          <w:tcPr>
            <w:tcW w:w="2790" w:type="dxa"/>
            <w:vAlign w:val="center"/>
          </w:tcPr>
          <w:p w14:paraId="2060965C" w14:textId="0DB3FFCD" w:rsidR="001A0AAD" w:rsidRPr="009119A5"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34751533" w14:textId="310FFEAA"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29 (72.5%)</w:t>
            </w:r>
          </w:p>
        </w:tc>
        <w:tc>
          <w:tcPr>
            <w:tcW w:w="1530" w:type="dxa"/>
            <w:gridSpan w:val="3"/>
            <w:vAlign w:val="center"/>
          </w:tcPr>
          <w:p w14:paraId="0ABB0DD6" w14:textId="2BFD65B1"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11 (27.5%)</w:t>
            </w:r>
          </w:p>
        </w:tc>
        <w:tc>
          <w:tcPr>
            <w:tcW w:w="2340" w:type="dxa"/>
            <w:vAlign w:val="center"/>
          </w:tcPr>
          <w:p w14:paraId="450E8915" w14:textId="45554C41"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1.04 (0.44-2.33, p=0.93)</w:t>
            </w:r>
          </w:p>
        </w:tc>
        <w:tc>
          <w:tcPr>
            <w:tcW w:w="2250" w:type="dxa"/>
            <w:vAlign w:val="center"/>
          </w:tcPr>
          <w:p w14:paraId="59ADC943" w14:textId="31DD737A"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1.04 (0.39-2.6</w:t>
            </w:r>
            <w:r w:rsidR="00533DBA">
              <w:rPr>
                <w:rFonts w:asciiTheme="minorHAnsi" w:hAnsiTheme="minorHAnsi" w:cstheme="minorHAnsi"/>
                <w:sz w:val="18"/>
                <w:szCs w:val="18"/>
              </w:rPr>
              <w:t>6</w:t>
            </w:r>
            <w:r>
              <w:rPr>
                <w:rFonts w:asciiTheme="minorHAnsi" w:hAnsiTheme="minorHAnsi" w:cstheme="minorHAnsi"/>
                <w:sz w:val="18"/>
                <w:szCs w:val="18"/>
              </w:rPr>
              <w:t>, p=0.93)</w:t>
            </w:r>
          </w:p>
        </w:tc>
      </w:tr>
      <w:tr w:rsidR="00E022E3" w:rsidRPr="009119A5" w14:paraId="19A647B9" w14:textId="77777777" w:rsidTr="001A0AAD">
        <w:trPr>
          <w:trHeight w:val="288"/>
        </w:trPr>
        <w:tc>
          <w:tcPr>
            <w:tcW w:w="2790" w:type="dxa"/>
            <w:vAlign w:val="center"/>
          </w:tcPr>
          <w:p w14:paraId="0DA77BFD" w14:textId="4D691B76" w:rsidR="00E022E3" w:rsidRDefault="00E022E3" w:rsidP="001A0AAD">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6D4C63C3" w14:textId="7DB7E545" w:rsidR="00E022E3"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5 (62.5%)</w:t>
            </w:r>
          </w:p>
        </w:tc>
        <w:tc>
          <w:tcPr>
            <w:tcW w:w="1530" w:type="dxa"/>
            <w:gridSpan w:val="3"/>
            <w:vAlign w:val="center"/>
          </w:tcPr>
          <w:p w14:paraId="269C26CA" w14:textId="23FE5C18" w:rsidR="00E022E3"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3 (37.5%)</w:t>
            </w:r>
          </w:p>
        </w:tc>
        <w:tc>
          <w:tcPr>
            <w:tcW w:w="2340" w:type="dxa"/>
            <w:vAlign w:val="center"/>
          </w:tcPr>
          <w:p w14:paraId="4F88E7AD" w14:textId="08604C9C" w:rsidR="00E022E3"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1.64 (0.32-7.16, p=0.5</w:t>
            </w:r>
            <w:r w:rsidR="00DC3CB6">
              <w:rPr>
                <w:rFonts w:asciiTheme="minorHAnsi" w:hAnsiTheme="minorHAnsi" w:cstheme="minorHAnsi"/>
                <w:sz w:val="18"/>
                <w:szCs w:val="18"/>
              </w:rPr>
              <w:t>2</w:t>
            </w:r>
            <w:r>
              <w:rPr>
                <w:rFonts w:asciiTheme="minorHAnsi" w:hAnsiTheme="minorHAnsi" w:cstheme="minorHAnsi"/>
                <w:sz w:val="18"/>
                <w:szCs w:val="18"/>
              </w:rPr>
              <w:t>)</w:t>
            </w:r>
          </w:p>
        </w:tc>
        <w:tc>
          <w:tcPr>
            <w:tcW w:w="2250" w:type="dxa"/>
            <w:vAlign w:val="center"/>
          </w:tcPr>
          <w:p w14:paraId="522CBEF3" w14:textId="17A3E8DD" w:rsidR="00E022E3"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0.65 (0.09-3.</w:t>
            </w:r>
            <w:r w:rsidR="00533DBA">
              <w:rPr>
                <w:rFonts w:asciiTheme="minorHAnsi" w:hAnsiTheme="minorHAnsi" w:cstheme="minorHAnsi"/>
                <w:sz w:val="18"/>
                <w:szCs w:val="18"/>
              </w:rPr>
              <w:t>71, p=0.65)</w:t>
            </w:r>
          </w:p>
        </w:tc>
      </w:tr>
      <w:tr w:rsidR="001A0AAD" w:rsidRPr="009119A5" w14:paraId="14E96393" w14:textId="77777777" w:rsidTr="001A0AAD">
        <w:trPr>
          <w:trHeight w:val="288"/>
        </w:trPr>
        <w:tc>
          <w:tcPr>
            <w:tcW w:w="2790" w:type="dxa"/>
            <w:vAlign w:val="center"/>
          </w:tcPr>
          <w:p w14:paraId="13614592" w14:textId="544F5C5A" w:rsidR="001A0AAD" w:rsidRPr="009119A5"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15B6B3C1" w14:textId="7DC0D0DE"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278 (72.8%)</w:t>
            </w:r>
          </w:p>
        </w:tc>
        <w:tc>
          <w:tcPr>
            <w:tcW w:w="1530" w:type="dxa"/>
            <w:gridSpan w:val="3"/>
            <w:vAlign w:val="center"/>
          </w:tcPr>
          <w:p w14:paraId="1D1AB20E" w14:textId="709EF4E6"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104 (27.2%)</w:t>
            </w:r>
          </w:p>
        </w:tc>
        <w:tc>
          <w:tcPr>
            <w:tcW w:w="2340" w:type="dxa"/>
            <w:vAlign w:val="center"/>
          </w:tcPr>
          <w:p w14:paraId="242D8CBE" w14:textId="7167B025" w:rsidR="001A0AAD"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1.02 (0.62-1.71, p=0.93)</w:t>
            </w:r>
          </w:p>
        </w:tc>
        <w:tc>
          <w:tcPr>
            <w:tcW w:w="2250" w:type="dxa"/>
            <w:vAlign w:val="center"/>
          </w:tcPr>
          <w:p w14:paraId="027D1DB5" w14:textId="66229096" w:rsidR="001A0AAD" w:rsidRPr="000966FB" w:rsidRDefault="00533DBA" w:rsidP="001A0AAD">
            <w:pPr>
              <w:pStyle w:val="NoSpacing"/>
              <w:rPr>
                <w:rFonts w:asciiTheme="minorHAnsi" w:hAnsiTheme="minorHAnsi" w:cstheme="minorHAnsi"/>
                <w:sz w:val="18"/>
                <w:szCs w:val="18"/>
              </w:rPr>
            </w:pPr>
            <w:r>
              <w:rPr>
                <w:rFonts w:asciiTheme="minorHAnsi" w:hAnsiTheme="minorHAnsi" w:cstheme="minorHAnsi"/>
                <w:sz w:val="18"/>
                <w:szCs w:val="18"/>
              </w:rPr>
              <w:t>1.76 (0.97-3.30, p=0.0</w:t>
            </w:r>
            <w:r w:rsidR="00DC3CB6">
              <w:rPr>
                <w:rFonts w:asciiTheme="minorHAnsi" w:hAnsiTheme="minorHAnsi" w:cstheme="minorHAnsi"/>
                <w:sz w:val="18"/>
                <w:szCs w:val="18"/>
              </w:rPr>
              <w:t>7</w:t>
            </w:r>
            <w:r>
              <w:rPr>
                <w:rFonts w:asciiTheme="minorHAnsi" w:hAnsiTheme="minorHAnsi" w:cstheme="minorHAnsi"/>
                <w:sz w:val="18"/>
                <w:szCs w:val="18"/>
              </w:rPr>
              <w:t>)</w:t>
            </w:r>
          </w:p>
        </w:tc>
      </w:tr>
      <w:tr w:rsidR="001A0AAD" w:rsidRPr="009119A5" w14:paraId="45EC2F60" w14:textId="77777777" w:rsidTr="00F52A0A">
        <w:trPr>
          <w:trHeight w:val="288"/>
        </w:trPr>
        <w:tc>
          <w:tcPr>
            <w:tcW w:w="5220" w:type="dxa"/>
            <w:gridSpan w:val="4"/>
            <w:tcBorders>
              <w:right w:val="nil"/>
            </w:tcBorders>
            <w:vAlign w:val="center"/>
          </w:tcPr>
          <w:p w14:paraId="45A53C65" w14:textId="34BAA36B" w:rsidR="001A0AAD" w:rsidRPr="009119A5" w:rsidRDefault="001A0AAD" w:rsidP="001A0AAD">
            <w:pPr>
              <w:pStyle w:val="NoSpacing"/>
              <w:rPr>
                <w:rFonts w:asciiTheme="minorHAnsi" w:hAnsiTheme="minorHAnsi" w:cstheme="minorHAnsi"/>
                <w:sz w:val="18"/>
                <w:szCs w:val="18"/>
              </w:rPr>
            </w:pPr>
            <w:r w:rsidRPr="009119A5">
              <w:rPr>
                <w:rFonts w:asciiTheme="minorHAnsi" w:hAnsiTheme="minorHAnsi" w:cstheme="minorHAnsi"/>
                <w:b/>
                <w:sz w:val="18"/>
                <w:szCs w:val="18"/>
              </w:rPr>
              <w:t>Clinical Variables Alone</w:t>
            </w:r>
            <w:r w:rsidRPr="009119A5">
              <w:rPr>
                <w:rFonts w:asciiTheme="minorHAnsi" w:hAnsiTheme="minorHAnsi" w:cstheme="minorHAnsi"/>
                <w:sz w:val="18"/>
                <w:szCs w:val="18"/>
              </w:rPr>
              <w:t xml:space="preserve">, N = </w:t>
            </w:r>
            <w:r>
              <w:rPr>
                <w:rFonts w:asciiTheme="minorHAnsi" w:hAnsiTheme="minorHAnsi" w:cstheme="minorHAnsi"/>
                <w:sz w:val="18"/>
                <w:szCs w:val="18"/>
              </w:rPr>
              <w:t>5</w:t>
            </w:r>
            <w:r w:rsidR="00E022E3">
              <w:rPr>
                <w:rFonts w:asciiTheme="minorHAnsi" w:hAnsiTheme="minorHAnsi" w:cstheme="minorHAnsi"/>
                <w:sz w:val="18"/>
                <w:szCs w:val="18"/>
              </w:rPr>
              <w:t>10</w:t>
            </w:r>
          </w:p>
        </w:tc>
        <w:tc>
          <w:tcPr>
            <w:tcW w:w="5220" w:type="dxa"/>
            <w:gridSpan w:val="3"/>
            <w:tcBorders>
              <w:left w:val="nil"/>
            </w:tcBorders>
            <w:vAlign w:val="center"/>
          </w:tcPr>
          <w:p w14:paraId="42DD7C09" w14:textId="4150C2B6"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C-statistic = </w:t>
            </w:r>
            <w:r>
              <w:rPr>
                <w:rFonts w:asciiTheme="minorHAnsi" w:hAnsiTheme="minorHAnsi" w:cstheme="minorHAnsi"/>
                <w:sz w:val="18"/>
                <w:szCs w:val="18"/>
              </w:rPr>
              <w:t>0.69</w:t>
            </w:r>
            <w:r w:rsidR="00E022E3">
              <w:rPr>
                <w:rFonts w:asciiTheme="minorHAnsi" w:hAnsiTheme="minorHAnsi" w:cstheme="minorHAnsi"/>
                <w:sz w:val="18"/>
                <w:szCs w:val="18"/>
              </w:rPr>
              <w:t>0</w:t>
            </w:r>
          </w:p>
        </w:tc>
      </w:tr>
      <w:tr w:rsidR="001A0AAD" w:rsidRPr="009119A5" w14:paraId="2B86F1D8" w14:textId="77777777" w:rsidTr="001A0AAD">
        <w:trPr>
          <w:trHeight w:val="288"/>
        </w:trPr>
        <w:tc>
          <w:tcPr>
            <w:tcW w:w="2790" w:type="dxa"/>
            <w:vAlign w:val="center"/>
          </w:tcPr>
          <w:p w14:paraId="57E42188" w14:textId="77777777" w:rsidR="001A0AAD" w:rsidRPr="009119A5" w:rsidRDefault="001A0AAD" w:rsidP="001A0AAD">
            <w:pPr>
              <w:pStyle w:val="NoSpacing"/>
              <w:jc w:val="right"/>
              <w:rPr>
                <w:rFonts w:asciiTheme="minorHAnsi" w:hAnsiTheme="minorHAnsi" w:cstheme="minorHAnsi"/>
                <w:sz w:val="18"/>
                <w:szCs w:val="18"/>
              </w:rPr>
            </w:pPr>
          </w:p>
        </w:tc>
        <w:tc>
          <w:tcPr>
            <w:tcW w:w="1530" w:type="dxa"/>
            <w:vAlign w:val="center"/>
          </w:tcPr>
          <w:p w14:paraId="65E75025" w14:textId="449EE357" w:rsidR="001A0AAD" w:rsidRPr="009119A5" w:rsidRDefault="001A0AAD" w:rsidP="001A0AAD">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75FA914D" w14:textId="1F9F1562"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28A52C76" w14:textId="660D9B14" w:rsidR="001A0AAD" w:rsidRPr="009119A5" w:rsidRDefault="001A0AAD" w:rsidP="001A0AAD">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63A77D83" w14:textId="33034301" w:rsidR="001A0AAD" w:rsidRPr="009119A5" w:rsidRDefault="001A0AAD" w:rsidP="001A0AAD">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1A0AAD" w:rsidRPr="009119A5" w14:paraId="295A7BAA" w14:textId="77777777" w:rsidTr="001A0AAD">
        <w:trPr>
          <w:trHeight w:val="288"/>
        </w:trPr>
        <w:tc>
          <w:tcPr>
            <w:tcW w:w="2790" w:type="dxa"/>
            <w:vAlign w:val="center"/>
          </w:tcPr>
          <w:p w14:paraId="15B2518C" w14:textId="5A7EEB55"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74EF24D9" w14:textId="091E960E"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 xml:space="preserve">61.7 (6.9) </w:t>
            </w:r>
          </w:p>
        </w:tc>
        <w:tc>
          <w:tcPr>
            <w:tcW w:w="1530" w:type="dxa"/>
            <w:gridSpan w:val="3"/>
            <w:vAlign w:val="center"/>
          </w:tcPr>
          <w:p w14:paraId="1565937E" w14:textId="622D7192"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65.1 (5.7)</w:t>
            </w:r>
          </w:p>
        </w:tc>
        <w:tc>
          <w:tcPr>
            <w:tcW w:w="2340" w:type="dxa"/>
            <w:vAlign w:val="center"/>
          </w:tcPr>
          <w:p w14:paraId="74D80995" w14:textId="05E28C46" w:rsidR="001A0AAD" w:rsidRPr="001A0AAD" w:rsidRDefault="001A0AAD" w:rsidP="001A0AAD">
            <w:pPr>
              <w:pStyle w:val="NoSpacing"/>
              <w:rPr>
                <w:rFonts w:asciiTheme="minorHAnsi" w:hAnsiTheme="minorHAnsi" w:cstheme="minorHAnsi"/>
                <w:sz w:val="18"/>
                <w:szCs w:val="18"/>
                <w:highlight w:val="yellow"/>
              </w:rPr>
            </w:pPr>
            <w:r w:rsidRPr="001A0AAD">
              <w:rPr>
                <w:rFonts w:asciiTheme="minorHAnsi" w:hAnsiTheme="minorHAnsi" w:cstheme="minorHAnsi"/>
                <w:sz w:val="18"/>
                <w:szCs w:val="18"/>
                <w:highlight w:val="yellow"/>
              </w:rPr>
              <w:t>1.08 (1.05-1.12, p&lt;0.001)</w:t>
            </w:r>
          </w:p>
        </w:tc>
        <w:tc>
          <w:tcPr>
            <w:tcW w:w="2250" w:type="dxa"/>
            <w:vAlign w:val="center"/>
          </w:tcPr>
          <w:p w14:paraId="1EF49DE7" w14:textId="4AEC0C34" w:rsidR="001A0AAD" w:rsidRPr="001A0AAD" w:rsidRDefault="001A0AAD" w:rsidP="001A0AAD">
            <w:pPr>
              <w:pStyle w:val="NoSpacing"/>
              <w:rPr>
                <w:rFonts w:asciiTheme="minorHAnsi" w:hAnsiTheme="minorHAnsi" w:cstheme="minorHAnsi"/>
                <w:sz w:val="18"/>
                <w:szCs w:val="18"/>
                <w:highlight w:val="yellow"/>
              </w:rPr>
            </w:pPr>
            <w:r w:rsidRPr="001A0AAD">
              <w:rPr>
                <w:rFonts w:asciiTheme="minorHAnsi" w:hAnsiTheme="minorHAnsi" w:cstheme="minorHAnsi"/>
                <w:sz w:val="18"/>
                <w:szCs w:val="18"/>
                <w:highlight w:val="yellow"/>
              </w:rPr>
              <w:t>1.08 (1.04-1.12, p&lt;0.001)</w:t>
            </w:r>
          </w:p>
        </w:tc>
      </w:tr>
      <w:tr w:rsidR="001A0AAD" w:rsidRPr="009119A5" w14:paraId="311B1BD1" w14:textId="77777777" w:rsidTr="001A0AAD">
        <w:trPr>
          <w:trHeight w:val="288"/>
        </w:trPr>
        <w:tc>
          <w:tcPr>
            <w:tcW w:w="2790" w:type="dxa"/>
            <w:vAlign w:val="center"/>
          </w:tcPr>
          <w:p w14:paraId="098E30B1" w14:textId="334D00E0"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2EEEAC8D" w14:textId="4618093C"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29.5 (4.6)</w:t>
            </w:r>
          </w:p>
        </w:tc>
        <w:tc>
          <w:tcPr>
            <w:tcW w:w="1530" w:type="dxa"/>
            <w:gridSpan w:val="3"/>
            <w:vAlign w:val="center"/>
          </w:tcPr>
          <w:p w14:paraId="155E642F" w14:textId="1F5F45C6"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29.8 (4.7)</w:t>
            </w:r>
          </w:p>
        </w:tc>
        <w:tc>
          <w:tcPr>
            <w:tcW w:w="2340" w:type="dxa"/>
            <w:vAlign w:val="center"/>
          </w:tcPr>
          <w:p w14:paraId="61361313" w14:textId="5711CAB2"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1.01 (0.97-1.05, p=0.62)</w:t>
            </w:r>
          </w:p>
        </w:tc>
        <w:tc>
          <w:tcPr>
            <w:tcW w:w="2250" w:type="dxa"/>
            <w:vAlign w:val="center"/>
          </w:tcPr>
          <w:p w14:paraId="72869BFD" w14:textId="392379D6"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1.00 (0.96-1.05, p=0.89)</w:t>
            </w:r>
          </w:p>
        </w:tc>
      </w:tr>
      <w:tr w:rsidR="001A0AAD" w:rsidRPr="009119A5" w14:paraId="4720074D" w14:textId="77777777" w:rsidTr="001A0AAD">
        <w:trPr>
          <w:trHeight w:val="288"/>
        </w:trPr>
        <w:tc>
          <w:tcPr>
            <w:tcW w:w="2790" w:type="dxa"/>
            <w:vAlign w:val="center"/>
          </w:tcPr>
          <w:p w14:paraId="67E10FE8" w14:textId="4A51E9B4"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402C153E" w14:textId="057888F7"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8.9 (9.9)</w:t>
            </w:r>
          </w:p>
        </w:tc>
        <w:tc>
          <w:tcPr>
            <w:tcW w:w="1530" w:type="dxa"/>
            <w:gridSpan w:val="3"/>
            <w:vAlign w:val="center"/>
          </w:tcPr>
          <w:p w14:paraId="7637BCD1" w14:textId="185C5D16"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9.0 (7.8)</w:t>
            </w:r>
          </w:p>
        </w:tc>
        <w:tc>
          <w:tcPr>
            <w:tcW w:w="2340" w:type="dxa"/>
            <w:vAlign w:val="center"/>
          </w:tcPr>
          <w:p w14:paraId="5353A133" w14:textId="6099E056"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1.00 (0.98-1.02, p=0.84)</w:t>
            </w:r>
          </w:p>
        </w:tc>
        <w:tc>
          <w:tcPr>
            <w:tcW w:w="2250" w:type="dxa"/>
            <w:vAlign w:val="center"/>
          </w:tcPr>
          <w:p w14:paraId="4A5C045C" w14:textId="1ECD241A"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1.00 (0.97-1.02, p=0.6</w:t>
            </w:r>
            <w:r w:rsidR="00DC3CB6">
              <w:rPr>
                <w:rFonts w:asciiTheme="minorHAnsi" w:hAnsiTheme="minorHAnsi" w:cstheme="minorHAnsi"/>
                <w:sz w:val="18"/>
                <w:szCs w:val="18"/>
              </w:rPr>
              <w:t>8</w:t>
            </w:r>
            <w:r>
              <w:rPr>
                <w:rFonts w:asciiTheme="minorHAnsi" w:hAnsiTheme="minorHAnsi" w:cstheme="minorHAnsi"/>
                <w:sz w:val="18"/>
                <w:szCs w:val="18"/>
              </w:rPr>
              <w:t>)</w:t>
            </w:r>
          </w:p>
        </w:tc>
      </w:tr>
      <w:tr w:rsidR="001A0AAD" w:rsidRPr="009119A5" w14:paraId="5F5670D1" w14:textId="77777777" w:rsidTr="001A0AAD">
        <w:trPr>
          <w:trHeight w:val="288"/>
        </w:trPr>
        <w:tc>
          <w:tcPr>
            <w:tcW w:w="2790" w:type="dxa"/>
            <w:vAlign w:val="center"/>
          </w:tcPr>
          <w:p w14:paraId="08693F5C" w14:textId="43826999"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48B0612C" w14:textId="58FDEE3D"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93.1 (11.4)</w:t>
            </w:r>
          </w:p>
        </w:tc>
        <w:tc>
          <w:tcPr>
            <w:tcW w:w="1530" w:type="dxa"/>
            <w:gridSpan w:val="3"/>
            <w:vAlign w:val="center"/>
          </w:tcPr>
          <w:p w14:paraId="318CAA07" w14:textId="4D222317"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86.7 (17.0)</w:t>
            </w:r>
          </w:p>
        </w:tc>
        <w:tc>
          <w:tcPr>
            <w:tcW w:w="2340" w:type="dxa"/>
            <w:vAlign w:val="center"/>
          </w:tcPr>
          <w:p w14:paraId="7C63AE99" w14:textId="51D532E8" w:rsidR="001A0AAD" w:rsidRPr="001A0AAD" w:rsidRDefault="001A0AAD" w:rsidP="001A0AAD">
            <w:pPr>
              <w:pStyle w:val="NoSpacing"/>
              <w:rPr>
                <w:rFonts w:asciiTheme="minorHAnsi" w:hAnsiTheme="minorHAnsi" w:cstheme="minorHAnsi"/>
                <w:sz w:val="18"/>
                <w:szCs w:val="18"/>
                <w:highlight w:val="yellow"/>
              </w:rPr>
            </w:pPr>
            <w:r w:rsidRPr="001A0AAD">
              <w:rPr>
                <w:rFonts w:asciiTheme="minorHAnsi" w:hAnsiTheme="minorHAnsi" w:cstheme="minorHAnsi"/>
                <w:sz w:val="18"/>
                <w:szCs w:val="18"/>
                <w:highlight w:val="yellow"/>
              </w:rPr>
              <w:t>0.97 (0.96-0.98, p&lt;0.001)</w:t>
            </w:r>
          </w:p>
        </w:tc>
        <w:tc>
          <w:tcPr>
            <w:tcW w:w="2250" w:type="dxa"/>
            <w:vAlign w:val="center"/>
          </w:tcPr>
          <w:p w14:paraId="172E1E8B" w14:textId="02CF7110" w:rsidR="001A0AAD" w:rsidRPr="001A0AAD" w:rsidRDefault="001A0AAD" w:rsidP="001A0AAD">
            <w:pPr>
              <w:pStyle w:val="NoSpacing"/>
              <w:rPr>
                <w:rFonts w:asciiTheme="minorHAnsi" w:hAnsiTheme="minorHAnsi" w:cstheme="minorHAnsi"/>
                <w:sz w:val="18"/>
                <w:szCs w:val="18"/>
                <w:highlight w:val="yellow"/>
              </w:rPr>
            </w:pPr>
            <w:r w:rsidRPr="001A0AAD">
              <w:rPr>
                <w:rFonts w:asciiTheme="minorHAnsi" w:hAnsiTheme="minorHAnsi" w:cstheme="minorHAnsi"/>
                <w:sz w:val="18"/>
                <w:szCs w:val="18"/>
                <w:highlight w:val="yellow"/>
              </w:rPr>
              <w:t>0.97 (0.96-0.99, p&lt;0.001)</w:t>
            </w:r>
          </w:p>
        </w:tc>
      </w:tr>
      <w:tr w:rsidR="001A0AAD" w:rsidRPr="009119A5" w14:paraId="40483565" w14:textId="77777777" w:rsidTr="001A0AAD">
        <w:trPr>
          <w:trHeight w:val="288"/>
        </w:trPr>
        <w:tc>
          <w:tcPr>
            <w:tcW w:w="2790" w:type="dxa"/>
            <w:vAlign w:val="center"/>
          </w:tcPr>
          <w:p w14:paraId="080F9B6F" w14:textId="1C8CBF8E"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59CAB4E9" w14:textId="52BAE171"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71.2 (28.1)</w:t>
            </w:r>
          </w:p>
        </w:tc>
        <w:tc>
          <w:tcPr>
            <w:tcW w:w="1530" w:type="dxa"/>
            <w:gridSpan w:val="3"/>
            <w:vAlign w:val="center"/>
          </w:tcPr>
          <w:p w14:paraId="508B2257" w14:textId="29D25018"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61.4 (31.1)</w:t>
            </w:r>
          </w:p>
        </w:tc>
        <w:tc>
          <w:tcPr>
            <w:tcW w:w="2340" w:type="dxa"/>
            <w:vAlign w:val="center"/>
          </w:tcPr>
          <w:p w14:paraId="04B13954" w14:textId="42C35A17" w:rsidR="001A0AAD" w:rsidRPr="009119A5" w:rsidRDefault="001A0AAD" w:rsidP="001A0AAD">
            <w:pPr>
              <w:pStyle w:val="NoSpacing"/>
              <w:rPr>
                <w:rFonts w:asciiTheme="minorHAnsi" w:hAnsiTheme="minorHAnsi" w:cstheme="minorHAnsi"/>
                <w:sz w:val="18"/>
                <w:szCs w:val="18"/>
              </w:rPr>
            </w:pPr>
            <w:r w:rsidRPr="001A0AAD">
              <w:rPr>
                <w:rFonts w:asciiTheme="minorHAnsi" w:hAnsiTheme="minorHAnsi" w:cstheme="minorHAnsi"/>
                <w:sz w:val="18"/>
                <w:szCs w:val="18"/>
                <w:highlight w:val="yellow"/>
              </w:rPr>
              <w:t>0.99 (0.98-1.00, p=0.001)</w:t>
            </w:r>
          </w:p>
        </w:tc>
        <w:tc>
          <w:tcPr>
            <w:tcW w:w="2250" w:type="dxa"/>
            <w:vAlign w:val="center"/>
          </w:tcPr>
          <w:p w14:paraId="1DF0F734" w14:textId="699FBB09"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1.00 (0.99-1.00, p=0.36</w:t>
            </w:r>
            <w:r w:rsidR="00DC3CB6">
              <w:rPr>
                <w:rFonts w:asciiTheme="minorHAnsi" w:hAnsiTheme="minorHAnsi" w:cstheme="minorHAnsi"/>
                <w:sz w:val="18"/>
                <w:szCs w:val="18"/>
              </w:rPr>
              <w:t>7</w:t>
            </w:r>
            <w:r>
              <w:rPr>
                <w:rFonts w:asciiTheme="minorHAnsi" w:hAnsiTheme="minorHAnsi" w:cstheme="minorHAnsi"/>
                <w:sz w:val="18"/>
                <w:szCs w:val="18"/>
              </w:rPr>
              <w:t>)</w:t>
            </w:r>
          </w:p>
        </w:tc>
      </w:tr>
      <w:tr w:rsidR="001A0AAD" w:rsidRPr="009119A5" w14:paraId="1E2CE464" w14:textId="77777777" w:rsidTr="001A0AAD">
        <w:trPr>
          <w:trHeight w:val="288"/>
        </w:trPr>
        <w:tc>
          <w:tcPr>
            <w:tcW w:w="2790" w:type="dxa"/>
            <w:vAlign w:val="center"/>
          </w:tcPr>
          <w:p w14:paraId="4266DCE4" w14:textId="756D4EF5" w:rsidR="001A0AAD" w:rsidRPr="009119A5"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7F34E247" w14:textId="5BE5C52B"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143 (74.9%)</w:t>
            </w:r>
          </w:p>
        </w:tc>
        <w:tc>
          <w:tcPr>
            <w:tcW w:w="1530" w:type="dxa"/>
            <w:gridSpan w:val="3"/>
            <w:vAlign w:val="center"/>
          </w:tcPr>
          <w:p w14:paraId="2AD9BAA0" w14:textId="3FEE75B2"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48 (25.1%)</w:t>
            </w:r>
          </w:p>
        </w:tc>
        <w:tc>
          <w:tcPr>
            <w:tcW w:w="2340" w:type="dxa"/>
            <w:vAlign w:val="center"/>
          </w:tcPr>
          <w:p w14:paraId="7DD95746" w14:textId="0A401CA3"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0.90 (0.54-1.51, p=0.67)</w:t>
            </w:r>
          </w:p>
        </w:tc>
        <w:tc>
          <w:tcPr>
            <w:tcW w:w="2250" w:type="dxa"/>
            <w:vAlign w:val="center"/>
          </w:tcPr>
          <w:p w14:paraId="15F61FC1" w14:textId="2FD74148"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0.94 (0.54-1.66, p=0.84)</w:t>
            </w:r>
          </w:p>
        </w:tc>
      </w:tr>
      <w:tr w:rsidR="001A0AAD" w:rsidRPr="009119A5" w14:paraId="43B96FFC" w14:textId="77777777" w:rsidTr="001A0AAD">
        <w:trPr>
          <w:trHeight w:val="288"/>
        </w:trPr>
        <w:tc>
          <w:tcPr>
            <w:tcW w:w="2790" w:type="dxa"/>
            <w:vAlign w:val="center"/>
          </w:tcPr>
          <w:p w14:paraId="50ADEAC7" w14:textId="4A090A24" w:rsidR="001A0AAD" w:rsidRPr="009119A5"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3B14B58D" w14:textId="3B4644F4"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73 (74.5%)</w:t>
            </w:r>
          </w:p>
        </w:tc>
        <w:tc>
          <w:tcPr>
            <w:tcW w:w="1530" w:type="dxa"/>
            <w:gridSpan w:val="3"/>
            <w:vAlign w:val="center"/>
          </w:tcPr>
          <w:p w14:paraId="2485B339" w14:textId="089656F8"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25 (25.5%)</w:t>
            </w:r>
          </w:p>
        </w:tc>
        <w:tc>
          <w:tcPr>
            <w:tcW w:w="2340" w:type="dxa"/>
            <w:vAlign w:val="center"/>
          </w:tcPr>
          <w:p w14:paraId="383952BF" w14:textId="00AB53CC"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0.91 (0.50-1.67, p=0.7</w:t>
            </w:r>
            <w:r w:rsidR="00DC3CB6">
              <w:rPr>
                <w:rFonts w:asciiTheme="minorHAnsi" w:hAnsiTheme="minorHAnsi" w:cstheme="minorHAnsi"/>
                <w:sz w:val="18"/>
                <w:szCs w:val="18"/>
              </w:rPr>
              <w:t>7</w:t>
            </w:r>
            <w:r>
              <w:rPr>
                <w:rFonts w:asciiTheme="minorHAnsi" w:hAnsiTheme="minorHAnsi" w:cstheme="minorHAnsi"/>
                <w:sz w:val="18"/>
                <w:szCs w:val="18"/>
              </w:rPr>
              <w:t>)</w:t>
            </w:r>
          </w:p>
        </w:tc>
        <w:tc>
          <w:tcPr>
            <w:tcW w:w="2250" w:type="dxa"/>
            <w:vAlign w:val="center"/>
          </w:tcPr>
          <w:p w14:paraId="0A283657" w14:textId="04111BC5"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0.84 (0.43-1.62, p=0.</w:t>
            </w:r>
            <w:r w:rsidR="00DC3CB6">
              <w:rPr>
                <w:rFonts w:asciiTheme="minorHAnsi" w:hAnsiTheme="minorHAnsi" w:cstheme="minorHAnsi"/>
                <w:sz w:val="18"/>
                <w:szCs w:val="18"/>
              </w:rPr>
              <w:t>60</w:t>
            </w:r>
            <w:r>
              <w:rPr>
                <w:rFonts w:asciiTheme="minorHAnsi" w:hAnsiTheme="minorHAnsi" w:cstheme="minorHAnsi"/>
                <w:sz w:val="18"/>
                <w:szCs w:val="18"/>
              </w:rPr>
              <w:t>)</w:t>
            </w:r>
          </w:p>
        </w:tc>
      </w:tr>
      <w:tr w:rsidR="001A0AAD" w:rsidRPr="009119A5" w14:paraId="5D699BE7" w14:textId="77777777" w:rsidTr="001A0AAD">
        <w:trPr>
          <w:trHeight w:val="288"/>
        </w:trPr>
        <w:tc>
          <w:tcPr>
            <w:tcW w:w="2790" w:type="dxa"/>
            <w:vAlign w:val="center"/>
          </w:tcPr>
          <w:p w14:paraId="14746865" w14:textId="32276386" w:rsidR="001A0AAD" w:rsidRPr="009119A5"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50D596AC" w14:textId="433D2C2F"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37 (74.0%)</w:t>
            </w:r>
          </w:p>
        </w:tc>
        <w:tc>
          <w:tcPr>
            <w:tcW w:w="1530" w:type="dxa"/>
            <w:gridSpan w:val="3"/>
            <w:vAlign w:val="center"/>
          </w:tcPr>
          <w:p w14:paraId="2D02363A" w14:textId="13D8D6D7"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13 (26.0%)</w:t>
            </w:r>
          </w:p>
        </w:tc>
        <w:tc>
          <w:tcPr>
            <w:tcW w:w="2340" w:type="dxa"/>
            <w:vAlign w:val="center"/>
          </w:tcPr>
          <w:p w14:paraId="48E71E92" w14:textId="47BA73A1"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0.94 (0.43-1.95, p=0.86)</w:t>
            </w:r>
          </w:p>
        </w:tc>
        <w:tc>
          <w:tcPr>
            <w:tcW w:w="2250" w:type="dxa"/>
            <w:vAlign w:val="center"/>
          </w:tcPr>
          <w:p w14:paraId="658C9629" w14:textId="15D8F33F"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0.72 (0.31-1.61, p=0.4</w:t>
            </w:r>
            <w:r w:rsidR="00DC3CB6">
              <w:rPr>
                <w:rFonts w:asciiTheme="minorHAnsi" w:hAnsiTheme="minorHAnsi" w:cstheme="minorHAnsi"/>
                <w:sz w:val="18"/>
                <w:szCs w:val="18"/>
              </w:rPr>
              <w:t>3</w:t>
            </w:r>
            <w:r>
              <w:rPr>
                <w:rFonts w:asciiTheme="minorHAnsi" w:hAnsiTheme="minorHAnsi" w:cstheme="minorHAnsi"/>
                <w:sz w:val="18"/>
                <w:szCs w:val="18"/>
              </w:rPr>
              <w:t>)</w:t>
            </w:r>
          </w:p>
        </w:tc>
      </w:tr>
      <w:tr w:rsidR="001A0AAD" w:rsidRPr="009119A5" w14:paraId="0A26484B" w14:textId="77777777" w:rsidTr="001A0AAD">
        <w:trPr>
          <w:trHeight w:val="288"/>
        </w:trPr>
        <w:tc>
          <w:tcPr>
            <w:tcW w:w="2790" w:type="dxa"/>
            <w:vAlign w:val="center"/>
          </w:tcPr>
          <w:p w14:paraId="6E01B4F7" w14:textId="0E84D120" w:rsidR="001A0AAD" w:rsidRDefault="001A0AAD" w:rsidP="001A0AAD">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5288617D" w14:textId="25DB12D5"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41 (61.2%)</w:t>
            </w:r>
          </w:p>
        </w:tc>
        <w:tc>
          <w:tcPr>
            <w:tcW w:w="1530" w:type="dxa"/>
            <w:gridSpan w:val="3"/>
            <w:vAlign w:val="center"/>
          </w:tcPr>
          <w:p w14:paraId="5510D8B1" w14:textId="16F71C10"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26 (38.8%)</w:t>
            </w:r>
          </w:p>
        </w:tc>
        <w:tc>
          <w:tcPr>
            <w:tcW w:w="2340" w:type="dxa"/>
            <w:vAlign w:val="center"/>
          </w:tcPr>
          <w:p w14:paraId="0255E7CE" w14:textId="56F2BC02"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1.69 (0.90-3.19, p=0.10)</w:t>
            </w:r>
          </w:p>
        </w:tc>
        <w:tc>
          <w:tcPr>
            <w:tcW w:w="2250" w:type="dxa"/>
            <w:vAlign w:val="center"/>
          </w:tcPr>
          <w:p w14:paraId="34AA73B9" w14:textId="3EF88404" w:rsidR="001A0AAD" w:rsidRPr="009119A5" w:rsidRDefault="001A0AAD" w:rsidP="001A0AAD">
            <w:pPr>
              <w:pStyle w:val="NoSpacing"/>
              <w:rPr>
                <w:rFonts w:asciiTheme="minorHAnsi" w:hAnsiTheme="minorHAnsi" w:cstheme="minorHAnsi"/>
                <w:sz w:val="18"/>
                <w:szCs w:val="18"/>
              </w:rPr>
            </w:pPr>
            <w:r>
              <w:rPr>
                <w:rFonts w:asciiTheme="minorHAnsi" w:hAnsiTheme="minorHAnsi" w:cstheme="minorHAnsi"/>
                <w:sz w:val="18"/>
                <w:szCs w:val="18"/>
              </w:rPr>
              <w:t>1.49 (0.74-3.01, p=0.26)</w:t>
            </w:r>
          </w:p>
        </w:tc>
      </w:tr>
      <w:tr w:rsidR="001A0AAD" w:rsidRPr="009119A5" w14:paraId="79B251E9" w14:textId="77777777" w:rsidTr="00F52A0A">
        <w:trPr>
          <w:trHeight w:val="288"/>
        </w:trPr>
        <w:tc>
          <w:tcPr>
            <w:tcW w:w="5130" w:type="dxa"/>
            <w:gridSpan w:val="3"/>
            <w:tcBorders>
              <w:right w:val="nil"/>
            </w:tcBorders>
            <w:vAlign w:val="center"/>
          </w:tcPr>
          <w:p w14:paraId="3CE7C968" w14:textId="75B466B2" w:rsidR="001A0AAD" w:rsidRPr="009119A5" w:rsidRDefault="001A0AAD" w:rsidP="001A0AAD">
            <w:pPr>
              <w:pStyle w:val="NoSpacing"/>
              <w:rPr>
                <w:rFonts w:asciiTheme="minorHAnsi" w:hAnsiTheme="minorHAnsi" w:cstheme="minorHAnsi"/>
                <w:sz w:val="18"/>
                <w:szCs w:val="18"/>
              </w:rPr>
            </w:pPr>
            <w:r w:rsidRPr="009119A5">
              <w:rPr>
                <w:rFonts w:asciiTheme="minorHAnsi" w:hAnsiTheme="minorHAnsi" w:cstheme="minorHAnsi"/>
                <w:b/>
                <w:sz w:val="18"/>
                <w:szCs w:val="18"/>
              </w:rPr>
              <w:t>MRI + Clinical Variables</w:t>
            </w:r>
            <w:r w:rsidRPr="009119A5">
              <w:rPr>
                <w:rFonts w:asciiTheme="minorHAnsi" w:hAnsiTheme="minorHAnsi" w:cstheme="minorHAnsi"/>
                <w:sz w:val="18"/>
                <w:szCs w:val="18"/>
              </w:rPr>
              <w:t>, N =</w:t>
            </w:r>
            <w:r w:rsidR="00E022E3">
              <w:rPr>
                <w:rFonts w:asciiTheme="minorHAnsi" w:hAnsiTheme="minorHAnsi" w:cstheme="minorHAnsi"/>
                <w:sz w:val="18"/>
                <w:szCs w:val="18"/>
              </w:rPr>
              <w:t xml:space="preserve"> 455</w:t>
            </w:r>
          </w:p>
        </w:tc>
        <w:tc>
          <w:tcPr>
            <w:tcW w:w="5310" w:type="dxa"/>
            <w:gridSpan w:val="4"/>
            <w:tcBorders>
              <w:left w:val="nil"/>
            </w:tcBorders>
            <w:vAlign w:val="center"/>
          </w:tcPr>
          <w:p w14:paraId="64DC7CF3" w14:textId="0D11D8EB" w:rsidR="001A0AAD" w:rsidRPr="009119A5" w:rsidRDefault="001A0AAD" w:rsidP="001A0AAD">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sidR="00E022E3">
              <w:rPr>
                <w:rFonts w:asciiTheme="minorHAnsi" w:hAnsiTheme="minorHAnsi" w:cstheme="minorHAnsi"/>
                <w:sz w:val="18"/>
                <w:szCs w:val="18"/>
              </w:rPr>
              <w:t xml:space="preserve"> 0.74</w:t>
            </w:r>
            <w:r w:rsidR="00D55F4A">
              <w:rPr>
                <w:rFonts w:asciiTheme="minorHAnsi" w:hAnsiTheme="minorHAnsi" w:cstheme="minorHAnsi"/>
                <w:sz w:val="18"/>
                <w:szCs w:val="18"/>
              </w:rPr>
              <w:t>5</w:t>
            </w:r>
            <w:r w:rsidRPr="009119A5">
              <w:rPr>
                <w:rFonts w:asciiTheme="minorHAnsi" w:hAnsiTheme="minorHAnsi" w:cstheme="minorHAnsi"/>
                <w:sz w:val="18"/>
                <w:szCs w:val="18"/>
              </w:rPr>
              <w:t xml:space="preserve"> </w:t>
            </w:r>
          </w:p>
        </w:tc>
      </w:tr>
      <w:tr w:rsidR="00E022E3" w:rsidRPr="009119A5" w14:paraId="0E1EEDA0" w14:textId="77777777" w:rsidTr="009E54FE">
        <w:trPr>
          <w:trHeight w:val="288"/>
        </w:trPr>
        <w:tc>
          <w:tcPr>
            <w:tcW w:w="2790" w:type="dxa"/>
            <w:vAlign w:val="center"/>
          </w:tcPr>
          <w:p w14:paraId="48FD5D77" w14:textId="77777777" w:rsidR="00E022E3" w:rsidRPr="009119A5" w:rsidRDefault="00E022E3" w:rsidP="001A0AAD">
            <w:pPr>
              <w:pStyle w:val="NoSpacing"/>
              <w:rPr>
                <w:rFonts w:asciiTheme="minorHAnsi" w:hAnsiTheme="minorHAnsi" w:cstheme="minorHAnsi"/>
                <w:sz w:val="18"/>
                <w:szCs w:val="18"/>
              </w:rPr>
            </w:pPr>
          </w:p>
        </w:tc>
        <w:tc>
          <w:tcPr>
            <w:tcW w:w="1530" w:type="dxa"/>
            <w:vAlign w:val="center"/>
          </w:tcPr>
          <w:p w14:paraId="3AF787F4" w14:textId="49B7F6B3" w:rsidR="00E022E3" w:rsidRPr="009119A5" w:rsidRDefault="00E022E3" w:rsidP="001A0AAD">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452780CB" w14:textId="5198F916" w:rsidR="00E022E3" w:rsidRPr="009119A5" w:rsidRDefault="00E022E3" w:rsidP="001A0AAD">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4590" w:type="dxa"/>
            <w:gridSpan w:val="2"/>
            <w:vAlign w:val="center"/>
          </w:tcPr>
          <w:p w14:paraId="5CD90EF0" w14:textId="4141AD4E"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4F0FDFE3" w14:textId="77777777" w:rsidTr="009E54FE">
        <w:trPr>
          <w:trHeight w:val="288"/>
        </w:trPr>
        <w:tc>
          <w:tcPr>
            <w:tcW w:w="2790" w:type="dxa"/>
            <w:vAlign w:val="center"/>
          </w:tcPr>
          <w:p w14:paraId="0628644F" w14:textId="55145EBD"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569CCD9D" w14:textId="73530D08"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 xml:space="preserve">61.7 (6.9) </w:t>
            </w:r>
          </w:p>
        </w:tc>
        <w:tc>
          <w:tcPr>
            <w:tcW w:w="1530" w:type="dxa"/>
            <w:gridSpan w:val="3"/>
            <w:vAlign w:val="center"/>
          </w:tcPr>
          <w:p w14:paraId="5888F299" w14:textId="5427EEB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65.1 (5.7)</w:t>
            </w:r>
          </w:p>
        </w:tc>
        <w:tc>
          <w:tcPr>
            <w:tcW w:w="4590" w:type="dxa"/>
            <w:gridSpan w:val="2"/>
            <w:vAlign w:val="center"/>
          </w:tcPr>
          <w:p w14:paraId="77067DAA" w14:textId="31380175" w:rsidR="00E022E3" w:rsidRPr="009119A5" w:rsidRDefault="00E022E3" w:rsidP="00E022E3">
            <w:pPr>
              <w:pStyle w:val="NoSpacing"/>
              <w:jc w:val="right"/>
              <w:rPr>
                <w:rFonts w:asciiTheme="minorHAnsi" w:hAnsiTheme="minorHAnsi" w:cstheme="minorHAnsi"/>
                <w:sz w:val="18"/>
                <w:szCs w:val="18"/>
              </w:rPr>
            </w:pPr>
            <w:r w:rsidRPr="001A0AAD">
              <w:rPr>
                <w:rFonts w:asciiTheme="minorHAnsi" w:hAnsiTheme="minorHAnsi" w:cstheme="minorHAnsi"/>
                <w:sz w:val="18"/>
                <w:szCs w:val="18"/>
                <w:highlight w:val="yellow"/>
              </w:rPr>
              <w:t>1.0</w:t>
            </w:r>
            <w:r>
              <w:rPr>
                <w:rFonts w:asciiTheme="minorHAnsi" w:hAnsiTheme="minorHAnsi" w:cstheme="minorHAnsi"/>
                <w:sz w:val="18"/>
                <w:szCs w:val="18"/>
                <w:highlight w:val="yellow"/>
              </w:rPr>
              <w:t>7</w:t>
            </w:r>
            <w:r w:rsidRPr="001A0AAD">
              <w:rPr>
                <w:rFonts w:asciiTheme="minorHAnsi" w:hAnsiTheme="minorHAnsi" w:cstheme="minorHAnsi"/>
                <w:sz w:val="18"/>
                <w:szCs w:val="18"/>
                <w:highlight w:val="yellow"/>
              </w:rPr>
              <w:t xml:space="preserve"> (1.0</w:t>
            </w:r>
            <w:r>
              <w:rPr>
                <w:rFonts w:asciiTheme="minorHAnsi" w:hAnsiTheme="minorHAnsi" w:cstheme="minorHAnsi"/>
                <w:sz w:val="18"/>
                <w:szCs w:val="18"/>
                <w:highlight w:val="yellow"/>
              </w:rPr>
              <w:t>3</w:t>
            </w:r>
            <w:r w:rsidRPr="001A0AAD">
              <w:rPr>
                <w:rFonts w:asciiTheme="minorHAnsi" w:hAnsiTheme="minorHAnsi" w:cstheme="minorHAnsi"/>
                <w:sz w:val="18"/>
                <w:szCs w:val="18"/>
                <w:highlight w:val="yellow"/>
              </w:rPr>
              <w:t xml:space="preserve">-1.12, </w:t>
            </w:r>
            <w:r>
              <w:rPr>
                <w:rFonts w:asciiTheme="minorHAnsi" w:hAnsiTheme="minorHAnsi" w:cstheme="minorHAnsi"/>
                <w:sz w:val="18"/>
                <w:szCs w:val="18"/>
                <w:highlight w:val="yellow"/>
              </w:rPr>
              <w:t>p=</w:t>
            </w:r>
            <w:r w:rsidRPr="001A0AAD">
              <w:rPr>
                <w:rFonts w:asciiTheme="minorHAnsi" w:hAnsiTheme="minorHAnsi" w:cstheme="minorHAnsi"/>
                <w:sz w:val="18"/>
                <w:szCs w:val="18"/>
                <w:highlight w:val="yellow"/>
              </w:rPr>
              <w:t>0.001)</w:t>
            </w:r>
          </w:p>
        </w:tc>
      </w:tr>
      <w:tr w:rsidR="00E022E3" w:rsidRPr="009119A5" w14:paraId="26CC31E5" w14:textId="77777777" w:rsidTr="009E54FE">
        <w:trPr>
          <w:trHeight w:val="288"/>
        </w:trPr>
        <w:tc>
          <w:tcPr>
            <w:tcW w:w="2790" w:type="dxa"/>
            <w:vAlign w:val="center"/>
          </w:tcPr>
          <w:p w14:paraId="190FD1D4" w14:textId="0FFD9349"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0EF163EC" w14:textId="667A8306"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29.5 (4.6)</w:t>
            </w:r>
          </w:p>
        </w:tc>
        <w:tc>
          <w:tcPr>
            <w:tcW w:w="1530" w:type="dxa"/>
            <w:gridSpan w:val="3"/>
            <w:vAlign w:val="center"/>
          </w:tcPr>
          <w:p w14:paraId="5D930729" w14:textId="050167E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29.8 (4.7)</w:t>
            </w:r>
          </w:p>
        </w:tc>
        <w:tc>
          <w:tcPr>
            <w:tcW w:w="4590" w:type="dxa"/>
            <w:gridSpan w:val="2"/>
            <w:vAlign w:val="center"/>
          </w:tcPr>
          <w:p w14:paraId="01C612CF" w14:textId="5EED55E8"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1.01 (0.96-1.07, p=0.6</w:t>
            </w:r>
            <w:r w:rsidR="00533DBA">
              <w:rPr>
                <w:rFonts w:asciiTheme="minorHAnsi" w:hAnsiTheme="minorHAnsi" w:cstheme="minorHAnsi"/>
                <w:sz w:val="18"/>
                <w:szCs w:val="18"/>
              </w:rPr>
              <w:t>1</w:t>
            </w:r>
            <w:r>
              <w:rPr>
                <w:rFonts w:asciiTheme="minorHAnsi" w:hAnsiTheme="minorHAnsi" w:cstheme="minorHAnsi"/>
                <w:sz w:val="18"/>
                <w:szCs w:val="18"/>
              </w:rPr>
              <w:t>)</w:t>
            </w:r>
          </w:p>
        </w:tc>
      </w:tr>
      <w:tr w:rsidR="00E022E3" w:rsidRPr="009119A5" w14:paraId="132E8C0A" w14:textId="77777777" w:rsidTr="009E54FE">
        <w:trPr>
          <w:trHeight w:val="288"/>
        </w:trPr>
        <w:tc>
          <w:tcPr>
            <w:tcW w:w="2790" w:type="dxa"/>
            <w:vAlign w:val="center"/>
          </w:tcPr>
          <w:p w14:paraId="6AFE3B41" w14:textId="65754BFD"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3634245A" w14:textId="5661545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8.9 (9.9)</w:t>
            </w:r>
          </w:p>
        </w:tc>
        <w:tc>
          <w:tcPr>
            <w:tcW w:w="1530" w:type="dxa"/>
            <w:gridSpan w:val="3"/>
            <w:vAlign w:val="center"/>
          </w:tcPr>
          <w:p w14:paraId="09634E5D" w14:textId="6EECA6CD"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9.0 (7.8)</w:t>
            </w:r>
          </w:p>
        </w:tc>
        <w:tc>
          <w:tcPr>
            <w:tcW w:w="4590" w:type="dxa"/>
            <w:gridSpan w:val="2"/>
            <w:vAlign w:val="center"/>
          </w:tcPr>
          <w:p w14:paraId="4C55D08D" w14:textId="520597EC"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0.99 (0.96-1.01, p=0.27)</w:t>
            </w:r>
          </w:p>
        </w:tc>
      </w:tr>
      <w:tr w:rsidR="00E022E3" w:rsidRPr="009119A5" w14:paraId="1BA0CDAE" w14:textId="77777777" w:rsidTr="009E54FE">
        <w:trPr>
          <w:trHeight w:val="288"/>
        </w:trPr>
        <w:tc>
          <w:tcPr>
            <w:tcW w:w="2790" w:type="dxa"/>
            <w:vAlign w:val="center"/>
          </w:tcPr>
          <w:p w14:paraId="1098691E" w14:textId="3E3997F2"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42054CBC" w14:textId="7530B76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93.1 (11.4)</w:t>
            </w:r>
          </w:p>
        </w:tc>
        <w:tc>
          <w:tcPr>
            <w:tcW w:w="1530" w:type="dxa"/>
            <w:gridSpan w:val="3"/>
            <w:vAlign w:val="center"/>
          </w:tcPr>
          <w:p w14:paraId="605DA1E9" w14:textId="68F818F8"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86.7 (17.0)</w:t>
            </w:r>
          </w:p>
        </w:tc>
        <w:tc>
          <w:tcPr>
            <w:tcW w:w="4590" w:type="dxa"/>
            <w:gridSpan w:val="2"/>
            <w:vAlign w:val="center"/>
          </w:tcPr>
          <w:p w14:paraId="7C5673AE" w14:textId="3BA20F21" w:rsidR="00E022E3" w:rsidRPr="009119A5" w:rsidRDefault="00E022E3" w:rsidP="00E022E3">
            <w:pPr>
              <w:pStyle w:val="NoSpacing"/>
              <w:jc w:val="right"/>
              <w:rPr>
                <w:rFonts w:asciiTheme="minorHAnsi" w:hAnsiTheme="minorHAnsi" w:cstheme="minorHAnsi"/>
                <w:sz w:val="18"/>
                <w:szCs w:val="18"/>
              </w:rPr>
            </w:pPr>
            <w:r w:rsidRPr="001A0AAD">
              <w:rPr>
                <w:rFonts w:asciiTheme="minorHAnsi" w:hAnsiTheme="minorHAnsi" w:cstheme="minorHAnsi"/>
                <w:sz w:val="18"/>
                <w:szCs w:val="18"/>
                <w:highlight w:val="yellow"/>
              </w:rPr>
              <w:t>0.9</w:t>
            </w:r>
            <w:r>
              <w:rPr>
                <w:rFonts w:asciiTheme="minorHAnsi" w:hAnsiTheme="minorHAnsi" w:cstheme="minorHAnsi"/>
                <w:sz w:val="18"/>
                <w:szCs w:val="18"/>
                <w:highlight w:val="yellow"/>
              </w:rPr>
              <w:t>8</w:t>
            </w:r>
            <w:r w:rsidRPr="001A0AAD">
              <w:rPr>
                <w:rFonts w:asciiTheme="minorHAnsi" w:hAnsiTheme="minorHAnsi" w:cstheme="minorHAnsi"/>
                <w:sz w:val="18"/>
                <w:szCs w:val="18"/>
                <w:highlight w:val="yellow"/>
              </w:rPr>
              <w:t xml:space="preserve"> (0.96-</w:t>
            </w:r>
            <w:r>
              <w:rPr>
                <w:rFonts w:asciiTheme="minorHAnsi" w:hAnsiTheme="minorHAnsi" w:cstheme="minorHAnsi"/>
                <w:sz w:val="18"/>
                <w:szCs w:val="18"/>
                <w:highlight w:val="yellow"/>
              </w:rPr>
              <w:t>1.00</w:t>
            </w:r>
            <w:r w:rsidRPr="001A0AAD">
              <w:rPr>
                <w:rFonts w:asciiTheme="minorHAnsi" w:hAnsiTheme="minorHAnsi" w:cstheme="minorHAnsi"/>
                <w:sz w:val="18"/>
                <w:szCs w:val="18"/>
                <w:highlight w:val="yellow"/>
              </w:rPr>
              <w:t>, p</w:t>
            </w:r>
            <w:r>
              <w:rPr>
                <w:rFonts w:asciiTheme="minorHAnsi" w:hAnsiTheme="minorHAnsi" w:cstheme="minorHAnsi"/>
                <w:sz w:val="18"/>
                <w:szCs w:val="18"/>
                <w:highlight w:val="yellow"/>
              </w:rPr>
              <w:t>=</w:t>
            </w:r>
            <w:r w:rsidRPr="001A0AAD">
              <w:rPr>
                <w:rFonts w:asciiTheme="minorHAnsi" w:hAnsiTheme="minorHAnsi" w:cstheme="minorHAnsi"/>
                <w:sz w:val="18"/>
                <w:szCs w:val="18"/>
                <w:highlight w:val="yellow"/>
              </w:rPr>
              <w:t>0.0</w:t>
            </w:r>
            <w:r w:rsidR="00533DBA">
              <w:rPr>
                <w:rFonts w:asciiTheme="minorHAnsi" w:hAnsiTheme="minorHAnsi" w:cstheme="minorHAnsi"/>
                <w:sz w:val="18"/>
                <w:szCs w:val="18"/>
                <w:highlight w:val="yellow"/>
              </w:rPr>
              <w:t>2</w:t>
            </w:r>
            <w:r w:rsidRPr="001A0AAD">
              <w:rPr>
                <w:rFonts w:asciiTheme="minorHAnsi" w:hAnsiTheme="minorHAnsi" w:cstheme="minorHAnsi"/>
                <w:sz w:val="18"/>
                <w:szCs w:val="18"/>
                <w:highlight w:val="yellow"/>
              </w:rPr>
              <w:t>)</w:t>
            </w:r>
          </w:p>
        </w:tc>
      </w:tr>
      <w:tr w:rsidR="00E022E3" w:rsidRPr="009119A5" w14:paraId="553B3F03" w14:textId="77777777" w:rsidTr="009E54FE">
        <w:trPr>
          <w:trHeight w:val="288"/>
        </w:trPr>
        <w:tc>
          <w:tcPr>
            <w:tcW w:w="2790" w:type="dxa"/>
            <w:vAlign w:val="center"/>
          </w:tcPr>
          <w:p w14:paraId="565C1B0D" w14:textId="4E02014B"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268696D8" w14:textId="1194DB4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71.2 (28.1)</w:t>
            </w:r>
          </w:p>
        </w:tc>
        <w:tc>
          <w:tcPr>
            <w:tcW w:w="1530" w:type="dxa"/>
            <w:gridSpan w:val="3"/>
            <w:vAlign w:val="center"/>
          </w:tcPr>
          <w:p w14:paraId="14559D23" w14:textId="16AC394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61.4 (31.1)</w:t>
            </w:r>
          </w:p>
        </w:tc>
        <w:tc>
          <w:tcPr>
            <w:tcW w:w="4590" w:type="dxa"/>
            <w:gridSpan w:val="2"/>
            <w:vAlign w:val="center"/>
          </w:tcPr>
          <w:p w14:paraId="683F08A3" w14:textId="3A4D0725"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(0.99-1.01, p=0.</w:t>
            </w:r>
            <w:r w:rsidR="00533DBA">
              <w:rPr>
                <w:rFonts w:asciiTheme="minorHAnsi" w:hAnsiTheme="minorHAnsi" w:cstheme="minorHAnsi"/>
                <w:sz w:val="18"/>
                <w:szCs w:val="18"/>
              </w:rPr>
              <w:t>5</w:t>
            </w:r>
            <w:r w:rsidR="00DC3CB6">
              <w:rPr>
                <w:rFonts w:asciiTheme="minorHAnsi" w:hAnsiTheme="minorHAnsi" w:cstheme="minorHAnsi"/>
                <w:sz w:val="18"/>
                <w:szCs w:val="18"/>
              </w:rPr>
              <w:t>8</w:t>
            </w:r>
            <w:r>
              <w:rPr>
                <w:rFonts w:asciiTheme="minorHAnsi" w:hAnsiTheme="minorHAnsi" w:cstheme="minorHAnsi"/>
                <w:sz w:val="18"/>
                <w:szCs w:val="18"/>
              </w:rPr>
              <w:t>)</w:t>
            </w:r>
          </w:p>
        </w:tc>
      </w:tr>
      <w:tr w:rsidR="00E022E3" w:rsidRPr="009119A5" w14:paraId="072FE135" w14:textId="77777777" w:rsidTr="009E54FE">
        <w:trPr>
          <w:trHeight w:val="288"/>
        </w:trPr>
        <w:tc>
          <w:tcPr>
            <w:tcW w:w="2790" w:type="dxa"/>
            <w:vAlign w:val="center"/>
          </w:tcPr>
          <w:p w14:paraId="175FE184" w14:textId="02B1FD54"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545B3C2D" w14:textId="23033EC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143 (74.9%)</w:t>
            </w:r>
          </w:p>
        </w:tc>
        <w:tc>
          <w:tcPr>
            <w:tcW w:w="1530" w:type="dxa"/>
            <w:gridSpan w:val="3"/>
            <w:vAlign w:val="center"/>
          </w:tcPr>
          <w:p w14:paraId="4B20762B" w14:textId="4E8B8905"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48 (25.1%)</w:t>
            </w:r>
          </w:p>
        </w:tc>
        <w:tc>
          <w:tcPr>
            <w:tcW w:w="4590" w:type="dxa"/>
            <w:gridSpan w:val="2"/>
            <w:vAlign w:val="center"/>
          </w:tcPr>
          <w:p w14:paraId="4E0DEC52" w14:textId="3817EAB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w:t>
            </w:r>
            <w:r w:rsidR="00533DBA">
              <w:rPr>
                <w:rFonts w:asciiTheme="minorHAnsi" w:hAnsiTheme="minorHAnsi" w:cstheme="minorHAnsi"/>
                <w:sz w:val="18"/>
                <w:szCs w:val="18"/>
              </w:rPr>
              <w:t>80 (0.42-1.54, p=0.50)</w:t>
            </w:r>
          </w:p>
        </w:tc>
      </w:tr>
      <w:tr w:rsidR="00E022E3" w:rsidRPr="009119A5" w14:paraId="2CA6A1DD" w14:textId="77777777" w:rsidTr="009E54FE">
        <w:trPr>
          <w:trHeight w:val="288"/>
        </w:trPr>
        <w:tc>
          <w:tcPr>
            <w:tcW w:w="2790" w:type="dxa"/>
            <w:vAlign w:val="center"/>
          </w:tcPr>
          <w:p w14:paraId="5CF88425" w14:textId="7B9EB902"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44F276CD" w14:textId="3C4BAC9F"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73 (74.5%)</w:t>
            </w:r>
          </w:p>
        </w:tc>
        <w:tc>
          <w:tcPr>
            <w:tcW w:w="1530" w:type="dxa"/>
            <w:gridSpan w:val="3"/>
            <w:vAlign w:val="center"/>
          </w:tcPr>
          <w:p w14:paraId="24C47DE0" w14:textId="3E2A22A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25 (25.5%)</w:t>
            </w:r>
          </w:p>
        </w:tc>
        <w:tc>
          <w:tcPr>
            <w:tcW w:w="4590" w:type="dxa"/>
            <w:gridSpan w:val="2"/>
            <w:vAlign w:val="center"/>
          </w:tcPr>
          <w:p w14:paraId="0E74A9E6" w14:textId="08951567"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w:t>
            </w:r>
            <w:r w:rsidR="00533DBA">
              <w:rPr>
                <w:rFonts w:asciiTheme="minorHAnsi" w:hAnsiTheme="minorHAnsi" w:cstheme="minorHAnsi"/>
                <w:sz w:val="18"/>
                <w:szCs w:val="18"/>
              </w:rPr>
              <w:t>96 (0.45-2.02, p=0.90</w:t>
            </w:r>
            <w:r>
              <w:rPr>
                <w:rFonts w:asciiTheme="minorHAnsi" w:hAnsiTheme="minorHAnsi" w:cstheme="minorHAnsi"/>
                <w:sz w:val="18"/>
                <w:szCs w:val="18"/>
              </w:rPr>
              <w:t>)</w:t>
            </w:r>
          </w:p>
        </w:tc>
      </w:tr>
      <w:tr w:rsidR="00E022E3" w:rsidRPr="009119A5" w14:paraId="7CA9A1FA" w14:textId="77777777" w:rsidTr="009E54FE">
        <w:trPr>
          <w:trHeight w:val="288"/>
        </w:trPr>
        <w:tc>
          <w:tcPr>
            <w:tcW w:w="2790" w:type="dxa"/>
            <w:vAlign w:val="center"/>
          </w:tcPr>
          <w:p w14:paraId="00BB04D5" w14:textId="2A4544E9"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21B50EA9" w14:textId="4CB538C0"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37 (74.0%)</w:t>
            </w:r>
          </w:p>
        </w:tc>
        <w:tc>
          <w:tcPr>
            <w:tcW w:w="1530" w:type="dxa"/>
            <w:gridSpan w:val="3"/>
            <w:vAlign w:val="center"/>
          </w:tcPr>
          <w:p w14:paraId="3A003479" w14:textId="5F4EFE1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13 (26.0%)</w:t>
            </w:r>
          </w:p>
        </w:tc>
        <w:tc>
          <w:tcPr>
            <w:tcW w:w="4590" w:type="dxa"/>
            <w:gridSpan w:val="2"/>
            <w:vAlign w:val="center"/>
          </w:tcPr>
          <w:p w14:paraId="0CFA62B6" w14:textId="5A62C17F"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0.91 (0.37-2.</w:t>
            </w:r>
            <w:r w:rsidR="00533DBA">
              <w:rPr>
                <w:rFonts w:asciiTheme="minorHAnsi" w:hAnsiTheme="minorHAnsi" w:cstheme="minorHAnsi"/>
                <w:sz w:val="18"/>
                <w:szCs w:val="18"/>
              </w:rPr>
              <w:t>19, p=0.84</w:t>
            </w:r>
            <w:r>
              <w:rPr>
                <w:rFonts w:asciiTheme="minorHAnsi" w:hAnsiTheme="minorHAnsi" w:cstheme="minorHAnsi"/>
                <w:sz w:val="18"/>
                <w:szCs w:val="18"/>
              </w:rPr>
              <w:t>)</w:t>
            </w:r>
          </w:p>
        </w:tc>
      </w:tr>
      <w:tr w:rsidR="00E022E3" w:rsidRPr="009119A5" w14:paraId="59451E1D" w14:textId="77777777" w:rsidTr="009E54FE">
        <w:trPr>
          <w:trHeight w:val="288"/>
        </w:trPr>
        <w:tc>
          <w:tcPr>
            <w:tcW w:w="2790" w:type="dxa"/>
            <w:vAlign w:val="center"/>
          </w:tcPr>
          <w:p w14:paraId="4B17CCDE" w14:textId="1FE638B7"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6B1B4F17" w14:textId="288A4B31"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41 (61.2%)</w:t>
            </w:r>
          </w:p>
        </w:tc>
        <w:tc>
          <w:tcPr>
            <w:tcW w:w="1530" w:type="dxa"/>
            <w:gridSpan w:val="3"/>
            <w:vAlign w:val="center"/>
          </w:tcPr>
          <w:p w14:paraId="11B61B85" w14:textId="5C736314"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26 (38.8%)</w:t>
            </w:r>
          </w:p>
        </w:tc>
        <w:tc>
          <w:tcPr>
            <w:tcW w:w="4590" w:type="dxa"/>
            <w:gridSpan w:val="2"/>
            <w:vAlign w:val="center"/>
          </w:tcPr>
          <w:p w14:paraId="4F6B0FAC" w14:textId="19A5FE01"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54 (0.69-3.45, p=0.29</w:t>
            </w:r>
            <w:r>
              <w:rPr>
                <w:rFonts w:asciiTheme="minorHAnsi" w:hAnsiTheme="minorHAnsi" w:cstheme="minorHAnsi"/>
                <w:sz w:val="18"/>
                <w:szCs w:val="18"/>
              </w:rPr>
              <w:t>)</w:t>
            </w:r>
          </w:p>
        </w:tc>
      </w:tr>
      <w:tr w:rsidR="00E022E3" w:rsidRPr="009119A5" w14:paraId="74085508" w14:textId="77777777" w:rsidTr="009E54FE">
        <w:trPr>
          <w:trHeight w:val="288"/>
        </w:trPr>
        <w:tc>
          <w:tcPr>
            <w:tcW w:w="2790" w:type="dxa"/>
            <w:vAlign w:val="center"/>
          </w:tcPr>
          <w:p w14:paraId="6D107197" w14:textId="08ECCEC5"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lastRenderedPageBreak/>
              <w:t>MUL, coronal (</w:t>
            </w:r>
            <w:r>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2AE2A525" w14:textId="68B196FC"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15.5 (3.7)</w:t>
            </w:r>
          </w:p>
        </w:tc>
        <w:tc>
          <w:tcPr>
            <w:tcW w:w="1530" w:type="dxa"/>
            <w:gridSpan w:val="3"/>
            <w:vAlign w:val="center"/>
          </w:tcPr>
          <w:p w14:paraId="53E63683" w14:textId="7FFA2127"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13.8 (3.7)</w:t>
            </w:r>
          </w:p>
        </w:tc>
        <w:tc>
          <w:tcPr>
            <w:tcW w:w="4590" w:type="dxa"/>
            <w:gridSpan w:val="2"/>
            <w:vAlign w:val="center"/>
          </w:tcPr>
          <w:p w14:paraId="667A11C3" w14:textId="6ED39CB2" w:rsidR="00E022E3" w:rsidRPr="009119A5" w:rsidRDefault="00E022E3" w:rsidP="00E022E3">
            <w:pPr>
              <w:pStyle w:val="NoSpacing"/>
              <w:jc w:val="right"/>
              <w:rPr>
                <w:rFonts w:asciiTheme="minorHAnsi" w:hAnsiTheme="minorHAnsi" w:cstheme="minorHAnsi"/>
                <w:sz w:val="18"/>
                <w:szCs w:val="18"/>
              </w:rPr>
            </w:pPr>
            <w:r w:rsidRPr="00E022E3">
              <w:rPr>
                <w:rFonts w:asciiTheme="minorHAnsi" w:hAnsiTheme="minorHAnsi" w:cstheme="minorHAnsi"/>
                <w:sz w:val="18"/>
                <w:szCs w:val="18"/>
                <w:highlight w:val="yellow"/>
              </w:rPr>
              <w:t>0.8</w:t>
            </w:r>
            <w:r w:rsidR="00533DBA">
              <w:rPr>
                <w:rFonts w:asciiTheme="minorHAnsi" w:hAnsiTheme="minorHAnsi" w:cstheme="minorHAnsi"/>
                <w:sz w:val="18"/>
                <w:szCs w:val="18"/>
                <w:highlight w:val="yellow"/>
              </w:rPr>
              <w:t>6</w:t>
            </w:r>
            <w:r w:rsidRPr="00E022E3">
              <w:rPr>
                <w:rFonts w:asciiTheme="minorHAnsi" w:hAnsiTheme="minorHAnsi" w:cstheme="minorHAnsi"/>
                <w:sz w:val="18"/>
                <w:szCs w:val="18"/>
                <w:highlight w:val="yellow"/>
              </w:rPr>
              <w:t xml:space="preserve"> (0.8</w:t>
            </w:r>
            <w:r w:rsidR="00533DBA">
              <w:rPr>
                <w:rFonts w:asciiTheme="minorHAnsi" w:hAnsiTheme="minorHAnsi" w:cstheme="minorHAnsi"/>
                <w:sz w:val="18"/>
                <w:szCs w:val="18"/>
                <w:highlight w:val="yellow"/>
              </w:rPr>
              <w:t>0</w:t>
            </w:r>
            <w:r w:rsidRPr="00E022E3">
              <w:rPr>
                <w:rFonts w:asciiTheme="minorHAnsi" w:hAnsiTheme="minorHAnsi" w:cstheme="minorHAnsi"/>
                <w:sz w:val="18"/>
                <w:szCs w:val="18"/>
                <w:highlight w:val="yellow"/>
              </w:rPr>
              <w:t>-0.9</w:t>
            </w:r>
            <w:r w:rsidR="00533DBA">
              <w:rPr>
                <w:rFonts w:asciiTheme="minorHAnsi" w:hAnsiTheme="minorHAnsi" w:cstheme="minorHAnsi"/>
                <w:sz w:val="18"/>
                <w:szCs w:val="18"/>
                <w:highlight w:val="yellow"/>
              </w:rPr>
              <w:t>3</w:t>
            </w:r>
            <w:r w:rsidRPr="00E022E3">
              <w:rPr>
                <w:rFonts w:asciiTheme="minorHAnsi" w:hAnsiTheme="minorHAnsi" w:cstheme="minorHAnsi"/>
                <w:sz w:val="18"/>
                <w:szCs w:val="18"/>
                <w:highlight w:val="yellow"/>
              </w:rPr>
              <w:t>, p&lt;0.001)</w:t>
            </w:r>
          </w:p>
        </w:tc>
      </w:tr>
      <w:tr w:rsidR="00E022E3" w:rsidRPr="009119A5" w14:paraId="4404D164" w14:textId="77777777" w:rsidTr="009E54FE">
        <w:trPr>
          <w:trHeight w:val="288"/>
        </w:trPr>
        <w:tc>
          <w:tcPr>
            <w:tcW w:w="2790" w:type="dxa"/>
            <w:vAlign w:val="center"/>
          </w:tcPr>
          <w:p w14:paraId="01CBB3D5" w14:textId="47127CD4"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7EBEB609" w14:textId="472F5079"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16.7 (2.9)</w:t>
            </w:r>
          </w:p>
        </w:tc>
        <w:tc>
          <w:tcPr>
            <w:tcW w:w="1530" w:type="dxa"/>
            <w:gridSpan w:val="3"/>
            <w:vAlign w:val="center"/>
          </w:tcPr>
          <w:p w14:paraId="755A784C" w14:textId="7D2F1CE0"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17.5 (3.1)</w:t>
            </w:r>
          </w:p>
        </w:tc>
        <w:tc>
          <w:tcPr>
            <w:tcW w:w="4590" w:type="dxa"/>
            <w:gridSpan w:val="2"/>
            <w:vAlign w:val="center"/>
          </w:tcPr>
          <w:p w14:paraId="04D394EC" w14:textId="100E302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1.04 (0.9</w:t>
            </w:r>
            <w:r w:rsidR="00533DBA">
              <w:rPr>
                <w:rFonts w:asciiTheme="minorHAnsi" w:hAnsiTheme="minorHAnsi" w:cstheme="minorHAnsi"/>
                <w:sz w:val="18"/>
                <w:szCs w:val="18"/>
              </w:rPr>
              <w:t>4</w:t>
            </w:r>
            <w:r>
              <w:rPr>
                <w:rFonts w:asciiTheme="minorHAnsi" w:hAnsiTheme="minorHAnsi" w:cstheme="minorHAnsi"/>
                <w:sz w:val="18"/>
                <w:szCs w:val="18"/>
              </w:rPr>
              <w:t>-1.1</w:t>
            </w:r>
            <w:r w:rsidR="00533DBA">
              <w:rPr>
                <w:rFonts w:asciiTheme="minorHAnsi" w:hAnsiTheme="minorHAnsi" w:cstheme="minorHAnsi"/>
                <w:sz w:val="18"/>
                <w:szCs w:val="18"/>
              </w:rPr>
              <w:t>5</w:t>
            </w:r>
            <w:r>
              <w:rPr>
                <w:rFonts w:asciiTheme="minorHAnsi" w:hAnsiTheme="minorHAnsi" w:cstheme="minorHAnsi"/>
                <w:sz w:val="18"/>
                <w:szCs w:val="18"/>
              </w:rPr>
              <w:t>, p=0.</w:t>
            </w:r>
            <w:r w:rsidR="00533DBA">
              <w:rPr>
                <w:rFonts w:asciiTheme="minorHAnsi" w:hAnsiTheme="minorHAnsi" w:cstheme="minorHAnsi"/>
                <w:sz w:val="18"/>
                <w:szCs w:val="18"/>
              </w:rPr>
              <w:t>50</w:t>
            </w:r>
            <w:r>
              <w:rPr>
                <w:rFonts w:asciiTheme="minorHAnsi" w:hAnsiTheme="minorHAnsi" w:cstheme="minorHAnsi"/>
                <w:sz w:val="18"/>
                <w:szCs w:val="18"/>
              </w:rPr>
              <w:t>)</w:t>
            </w:r>
          </w:p>
        </w:tc>
      </w:tr>
      <w:tr w:rsidR="00E022E3" w:rsidRPr="009119A5" w14:paraId="77BDA060" w14:textId="77777777" w:rsidTr="009E54FE">
        <w:trPr>
          <w:trHeight w:val="288"/>
        </w:trPr>
        <w:tc>
          <w:tcPr>
            <w:tcW w:w="2790" w:type="dxa"/>
            <w:vAlign w:val="center"/>
          </w:tcPr>
          <w:p w14:paraId="73B9DC88" w14:textId="13C08462"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3C4E31F6" w14:textId="04C8A829"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37.0 (4.1)</w:t>
            </w:r>
          </w:p>
        </w:tc>
        <w:tc>
          <w:tcPr>
            <w:tcW w:w="1530" w:type="dxa"/>
            <w:gridSpan w:val="3"/>
            <w:vAlign w:val="center"/>
          </w:tcPr>
          <w:p w14:paraId="1EDF7B38" w14:textId="20E7E7F1" w:rsidR="00E022E3" w:rsidRPr="009119A5" w:rsidRDefault="00533DBA" w:rsidP="00E022E3">
            <w:pPr>
              <w:pStyle w:val="NoSpacing"/>
              <w:rPr>
                <w:rFonts w:asciiTheme="minorHAnsi" w:hAnsiTheme="minorHAnsi" w:cstheme="minorHAnsi"/>
                <w:sz w:val="18"/>
                <w:szCs w:val="18"/>
              </w:rPr>
            </w:pPr>
            <w:r>
              <w:rPr>
                <w:rFonts w:asciiTheme="minorHAnsi" w:hAnsiTheme="minorHAnsi" w:cstheme="minorHAnsi"/>
                <w:sz w:val="18"/>
                <w:szCs w:val="18"/>
              </w:rPr>
              <w:t>37.8 (4.3)</w:t>
            </w:r>
          </w:p>
        </w:tc>
        <w:tc>
          <w:tcPr>
            <w:tcW w:w="4590" w:type="dxa"/>
            <w:gridSpan w:val="2"/>
            <w:vAlign w:val="center"/>
          </w:tcPr>
          <w:p w14:paraId="1377D89C" w14:textId="50851F00"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w:t>
            </w:r>
            <w:r w:rsidR="00533DBA">
              <w:rPr>
                <w:rFonts w:asciiTheme="minorHAnsi" w:hAnsiTheme="minorHAnsi" w:cstheme="minorHAnsi"/>
                <w:sz w:val="18"/>
                <w:szCs w:val="18"/>
              </w:rPr>
              <w:t>2</w:t>
            </w:r>
            <w:r>
              <w:rPr>
                <w:rFonts w:asciiTheme="minorHAnsi" w:hAnsiTheme="minorHAnsi" w:cstheme="minorHAnsi"/>
                <w:sz w:val="18"/>
                <w:szCs w:val="18"/>
              </w:rPr>
              <w:t xml:space="preserve"> (0.9</w:t>
            </w:r>
            <w:r w:rsidR="00533DBA">
              <w:rPr>
                <w:rFonts w:asciiTheme="minorHAnsi" w:hAnsiTheme="minorHAnsi" w:cstheme="minorHAnsi"/>
                <w:sz w:val="18"/>
                <w:szCs w:val="18"/>
              </w:rPr>
              <w:t>5</w:t>
            </w:r>
            <w:r>
              <w:rPr>
                <w:rFonts w:asciiTheme="minorHAnsi" w:hAnsiTheme="minorHAnsi" w:cstheme="minorHAnsi"/>
                <w:sz w:val="18"/>
                <w:szCs w:val="18"/>
              </w:rPr>
              <w:t>-1.</w:t>
            </w:r>
            <w:r w:rsidR="00533DBA">
              <w:rPr>
                <w:rFonts w:asciiTheme="minorHAnsi" w:hAnsiTheme="minorHAnsi" w:cstheme="minorHAnsi"/>
                <w:sz w:val="18"/>
                <w:szCs w:val="18"/>
              </w:rPr>
              <w:t>10</w:t>
            </w:r>
            <w:r>
              <w:rPr>
                <w:rFonts w:asciiTheme="minorHAnsi" w:hAnsiTheme="minorHAnsi" w:cstheme="minorHAnsi"/>
                <w:sz w:val="18"/>
                <w:szCs w:val="18"/>
              </w:rPr>
              <w:t>, p=0.</w:t>
            </w:r>
            <w:r w:rsidR="00533DBA">
              <w:rPr>
                <w:rFonts w:asciiTheme="minorHAnsi" w:hAnsiTheme="minorHAnsi" w:cstheme="minorHAnsi"/>
                <w:sz w:val="18"/>
                <w:szCs w:val="18"/>
              </w:rPr>
              <w:t>5</w:t>
            </w:r>
            <w:r w:rsidR="00DC3CB6">
              <w:rPr>
                <w:rFonts w:asciiTheme="minorHAnsi" w:hAnsiTheme="minorHAnsi" w:cstheme="minorHAnsi"/>
                <w:sz w:val="18"/>
                <w:szCs w:val="18"/>
              </w:rPr>
              <w:t>5</w:t>
            </w:r>
            <w:r>
              <w:rPr>
                <w:rFonts w:asciiTheme="minorHAnsi" w:hAnsiTheme="minorHAnsi" w:cstheme="minorHAnsi"/>
                <w:sz w:val="18"/>
                <w:szCs w:val="18"/>
              </w:rPr>
              <w:t>)</w:t>
            </w:r>
          </w:p>
        </w:tc>
      </w:tr>
      <w:tr w:rsidR="00E022E3" w:rsidRPr="009119A5" w14:paraId="78E67295" w14:textId="77777777" w:rsidTr="009E54FE">
        <w:trPr>
          <w:trHeight w:val="288"/>
        </w:trPr>
        <w:tc>
          <w:tcPr>
            <w:tcW w:w="2790" w:type="dxa"/>
            <w:vAlign w:val="center"/>
          </w:tcPr>
          <w:p w14:paraId="0ED5079A" w14:textId="285B3D62" w:rsidR="00E022E3" w:rsidRPr="009119A5" w:rsidRDefault="00E022E3" w:rsidP="00E022E3">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1D915143" w14:textId="2E08B15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129.1 (11.6)</w:t>
            </w:r>
          </w:p>
        </w:tc>
        <w:tc>
          <w:tcPr>
            <w:tcW w:w="1530" w:type="dxa"/>
            <w:gridSpan w:val="3"/>
            <w:vAlign w:val="center"/>
          </w:tcPr>
          <w:p w14:paraId="6AE73CE9" w14:textId="1E877820"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128.2 (11.7)</w:t>
            </w:r>
          </w:p>
        </w:tc>
        <w:tc>
          <w:tcPr>
            <w:tcW w:w="4590" w:type="dxa"/>
            <w:gridSpan w:val="2"/>
            <w:vAlign w:val="center"/>
          </w:tcPr>
          <w:p w14:paraId="7E4D5C9A" w14:textId="1E0334AB"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(0.98-1.02, p=0.8</w:t>
            </w:r>
            <w:r w:rsidR="00533DBA">
              <w:rPr>
                <w:rFonts w:asciiTheme="minorHAnsi" w:hAnsiTheme="minorHAnsi" w:cstheme="minorHAnsi"/>
                <w:sz w:val="18"/>
                <w:szCs w:val="18"/>
              </w:rPr>
              <w:t>5</w:t>
            </w:r>
            <w:r>
              <w:rPr>
                <w:rFonts w:asciiTheme="minorHAnsi" w:hAnsiTheme="minorHAnsi" w:cstheme="minorHAnsi"/>
                <w:sz w:val="18"/>
                <w:szCs w:val="18"/>
              </w:rPr>
              <w:t>)</w:t>
            </w:r>
          </w:p>
        </w:tc>
      </w:tr>
      <w:tr w:rsidR="00E022E3" w:rsidRPr="009119A5" w14:paraId="34528AE8" w14:textId="77777777" w:rsidTr="009E54FE">
        <w:trPr>
          <w:trHeight w:val="288"/>
        </w:trPr>
        <w:tc>
          <w:tcPr>
            <w:tcW w:w="2790" w:type="dxa"/>
            <w:vAlign w:val="center"/>
          </w:tcPr>
          <w:p w14:paraId="2FF3ED2F" w14:textId="153257FD" w:rsidR="00E022E3" w:rsidRPr="009119A5" w:rsidRDefault="00E022E3" w:rsidP="00E022E3">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3BDEEAA8" w14:textId="4E18153A"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55.5 (12.2)</w:t>
            </w:r>
          </w:p>
        </w:tc>
        <w:tc>
          <w:tcPr>
            <w:tcW w:w="1530" w:type="dxa"/>
            <w:gridSpan w:val="3"/>
            <w:vAlign w:val="center"/>
          </w:tcPr>
          <w:p w14:paraId="71DD0CEA" w14:textId="0CF3355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56.7 (12.2)</w:t>
            </w:r>
          </w:p>
        </w:tc>
        <w:tc>
          <w:tcPr>
            <w:tcW w:w="4590" w:type="dxa"/>
            <w:gridSpan w:val="2"/>
            <w:vAlign w:val="center"/>
          </w:tcPr>
          <w:p w14:paraId="28287D10" w14:textId="7C084CA6"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00 (0.98-1.02, p=0.66</w:t>
            </w:r>
            <w:r>
              <w:rPr>
                <w:rFonts w:asciiTheme="minorHAnsi" w:hAnsiTheme="minorHAnsi" w:cstheme="minorHAnsi"/>
                <w:sz w:val="18"/>
                <w:szCs w:val="18"/>
              </w:rPr>
              <w:t>)</w:t>
            </w:r>
          </w:p>
        </w:tc>
      </w:tr>
      <w:tr w:rsidR="00E022E3" w:rsidRPr="009119A5" w14:paraId="51EACD88" w14:textId="77777777" w:rsidTr="009E54FE">
        <w:trPr>
          <w:trHeight w:val="288"/>
        </w:trPr>
        <w:tc>
          <w:tcPr>
            <w:tcW w:w="2790" w:type="dxa"/>
            <w:vAlign w:val="center"/>
          </w:tcPr>
          <w:p w14:paraId="4482333C" w14:textId="47664EDD"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51F461A2" w14:textId="69528B05"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42.0 (21.2)</w:t>
            </w:r>
          </w:p>
        </w:tc>
        <w:tc>
          <w:tcPr>
            <w:tcW w:w="1530" w:type="dxa"/>
            <w:gridSpan w:val="3"/>
            <w:vAlign w:val="center"/>
          </w:tcPr>
          <w:p w14:paraId="27525FB7" w14:textId="1EAC2A0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48.8 (27.4)</w:t>
            </w:r>
          </w:p>
        </w:tc>
        <w:tc>
          <w:tcPr>
            <w:tcW w:w="4590" w:type="dxa"/>
            <w:gridSpan w:val="2"/>
            <w:vAlign w:val="center"/>
          </w:tcPr>
          <w:p w14:paraId="0227F4E6" w14:textId="657175E9" w:rsidR="00E022E3" w:rsidRPr="009119A5" w:rsidRDefault="00E022E3" w:rsidP="00E022E3">
            <w:pPr>
              <w:pStyle w:val="NoSpacing"/>
              <w:jc w:val="right"/>
              <w:rPr>
                <w:rFonts w:asciiTheme="minorHAnsi" w:hAnsiTheme="minorHAnsi" w:cstheme="minorHAnsi"/>
                <w:sz w:val="18"/>
                <w:szCs w:val="18"/>
              </w:rPr>
            </w:pPr>
            <w:r w:rsidRPr="008741A0">
              <w:rPr>
                <w:rFonts w:asciiTheme="minorHAnsi" w:hAnsiTheme="minorHAnsi" w:cstheme="minorHAnsi"/>
                <w:sz w:val="18"/>
                <w:szCs w:val="18"/>
                <w:highlight w:val="yellow"/>
              </w:rPr>
              <w:t>1.01 (1.00-1.03, p=0.03)</w:t>
            </w:r>
          </w:p>
        </w:tc>
      </w:tr>
      <w:tr w:rsidR="00E022E3" w:rsidRPr="009119A5" w14:paraId="74EB36AA" w14:textId="77777777" w:rsidTr="009E54FE">
        <w:trPr>
          <w:trHeight w:val="288"/>
        </w:trPr>
        <w:tc>
          <w:tcPr>
            <w:tcW w:w="2790" w:type="dxa"/>
            <w:vAlign w:val="center"/>
          </w:tcPr>
          <w:p w14:paraId="3D20F352" w14:textId="436FEBC8"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34235A12" w14:textId="37B536A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170 (78.3%)</w:t>
            </w:r>
          </w:p>
        </w:tc>
        <w:tc>
          <w:tcPr>
            <w:tcW w:w="1530" w:type="dxa"/>
            <w:gridSpan w:val="3"/>
            <w:vAlign w:val="center"/>
          </w:tcPr>
          <w:p w14:paraId="4B4330BE" w14:textId="3DFEFDE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47 (21.7%)</w:t>
            </w:r>
          </w:p>
        </w:tc>
        <w:tc>
          <w:tcPr>
            <w:tcW w:w="4590" w:type="dxa"/>
            <w:gridSpan w:val="2"/>
            <w:vAlign w:val="center"/>
          </w:tcPr>
          <w:p w14:paraId="1BFDDBF0" w14:textId="4CC5645B"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w:t>
            </w:r>
            <w:r w:rsidR="00533DBA">
              <w:rPr>
                <w:rFonts w:asciiTheme="minorHAnsi" w:hAnsiTheme="minorHAnsi" w:cstheme="minorHAnsi"/>
                <w:sz w:val="18"/>
                <w:szCs w:val="18"/>
              </w:rPr>
              <w:t>65 (0.27-1.64, p=0.35</w:t>
            </w:r>
            <w:r>
              <w:rPr>
                <w:rFonts w:asciiTheme="minorHAnsi" w:hAnsiTheme="minorHAnsi" w:cstheme="minorHAnsi"/>
                <w:sz w:val="18"/>
                <w:szCs w:val="18"/>
              </w:rPr>
              <w:t>)</w:t>
            </w:r>
          </w:p>
        </w:tc>
      </w:tr>
      <w:tr w:rsidR="00E022E3" w:rsidRPr="009119A5" w14:paraId="5AE3D8B2" w14:textId="77777777" w:rsidTr="009E54FE">
        <w:trPr>
          <w:trHeight w:val="288"/>
        </w:trPr>
        <w:tc>
          <w:tcPr>
            <w:tcW w:w="2790" w:type="dxa"/>
            <w:vAlign w:val="center"/>
          </w:tcPr>
          <w:p w14:paraId="39300E09" w14:textId="1EA10913"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039743A5" w14:textId="22E5DCE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150 (67.6%)</w:t>
            </w:r>
          </w:p>
        </w:tc>
        <w:tc>
          <w:tcPr>
            <w:tcW w:w="1530" w:type="dxa"/>
            <w:gridSpan w:val="3"/>
            <w:vAlign w:val="center"/>
          </w:tcPr>
          <w:p w14:paraId="5D0AB248" w14:textId="6758F3FE"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72 (32.4%)</w:t>
            </w:r>
          </w:p>
        </w:tc>
        <w:tc>
          <w:tcPr>
            <w:tcW w:w="4590" w:type="dxa"/>
            <w:gridSpan w:val="2"/>
            <w:vAlign w:val="center"/>
          </w:tcPr>
          <w:p w14:paraId="3A90AA59" w14:textId="58558A90"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w:t>
            </w:r>
            <w:r w:rsidR="00533DBA">
              <w:rPr>
                <w:rFonts w:asciiTheme="minorHAnsi" w:hAnsiTheme="minorHAnsi" w:cstheme="minorHAnsi"/>
                <w:sz w:val="18"/>
                <w:szCs w:val="18"/>
              </w:rPr>
              <w:t>02 (0.42-2.58, p=0.9</w:t>
            </w:r>
            <w:r w:rsidR="00DC3CB6">
              <w:rPr>
                <w:rFonts w:asciiTheme="minorHAnsi" w:hAnsiTheme="minorHAnsi" w:cstheme="minorHAnsi"/>
                <w:sz w:val="18"/>
                <w:szCs w:val="18"/>
              </w:rPr>
              <w:t>7</w:t>
            </w:r>
            <w:r>
              <w:rPr>
                <w:rFonts w:asciiTheme="minorHAnsi" w:hAnsiTheme="minorHAnsi" w:cstheme="minorHAnsi"/>
                <w:sz w:val="18"/>
                <w:szCs w:val="18"/>
              </w:rPr>
              <w:t>)</w:t>
            </w:r>
          </w:p>
        </w:tc>
      </w:tr>
      <w:tr w:rsidR="00E022E3" w:rsidRPr="009119A5" w14:paraId="715CF50B" w14:textId="77777777" w:rsidTr="009E54FE">
        <w:trPr>
          <w:trHeight w:val="288"/>
        </w:trPr>
        <w:tc>
          <w:tcPr>
            <w:tcW w:w="2790" w:type="dxa"/>
            <w:vAlign w:val="center"/>
          </w:tcPr>
          <w:p w14:paraId="1E2DCCAE" w14:textId="2B1959B9"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5E12017B" w14:textId="77777777" w:rsidR="00E022E3" w:rsidRPr="009119A5" w:rsidRDefault="00E022E3" w:rsidP="00E022E3">
            <w:pPr>
              <w:pStyle w:val="NoSpacing"/>
              <w:rPr>
                <w:rFonts w:asciiTheme="minorHAnsi" w:hAnsiTheme="minorHAnsi" w:cstheme="minorHAnsi"/>
                <w:sz w:val="18"/>
                <w:szCs w:val="18"/>
              </w:rPr>
            </w:pPr>
          </w:p>
        </w:tc>
        <w:tc>
          <w:tcPr>
            <w:tcW w:w="1530" w:type="dxa"/>
            <w:gridSpan w:val="3"/>
            <w:vAlign w:val="center"/>
          </w:tcPr>
          <w:p w14:paraId="73CFB674" w14:textId="77777777" w:rsidR="00E022E3" w:rsidRPr="009119A5" w:rsidRDefault="00E022E3" w:rsidP="00E022E3">
            <w:pPr>
              <w:pStyle w:val="NoSpacing"/>
              <w:rPr>
                <w:rFonts w:asciiTheme="minorHAnsi" w:hAnsiTheme="minorHAnsi" w:cstheme="minorHAnsi"/>
                <w:sz w:val="18"/>
                <w:szCs w:val="18"/>
              </w:rPr>
            </w:pPr>
          </w:p>
        </w:tc>
        <w:tc>
          <w:tcPr>
            <w:tcW w:w="4590" w:type="dxa"/>
            <w:gridSpan w:val="2"/>
            <w:vAlign w:val="center"/>
          </w:tcPr>
          <w:p w14:paraId="0834EC61" w14:textId="77777777" w:rsidR="00E022E3" w:rsidRPr="009119A5" w:rsidRDefault="00E022E3" w:rsidP="00E022E3">
            <w:pPr>
              <w:pStyle w:val="NoSpacing"/>
              <w:jc w:val="right"/>
              <w:rPr>
                <w:rFonts w:asciiTheme="minorHAnsi" w:hAnsiTheme="minorHAnsi" w:cstheme="minorHAnsi"/>
                <w:sz w:val="18"/>
                <w:szCs w:val="18"/>
              </w:rPr>
            </w:pPr>
          </w:p>
        </w:tc>
      </w:tr>
      <w:tr w:rsidR="00E022E3" w:rsidRPr="009119A5" w14:paraId="398B0AC0" w14:textId="77777777" w:rsidTr="009E54FE">
        <w:trPr>
          <w:trHeight w:val="288"/>
        </w:trPr>
        <w:tc>
          <w:tcPr>
            <w:tcW w:w="2790" w:type="dxa"/>
            <w:vAlign w:val="center"/>
          </w:tcPr>
          <w:p w14:paraId="03F6F850" w14:textId="70544765" w:rsidR="00E022E3"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34A0BD73" w14:textId="6C43E281"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 (72.5%)</w:t>
            </w:r>
          </w:p>
        </w:tc>
        <w:tc>
          <w:tcPr>
            <w:tcW w:w="1530" w:type="dxa"/>
            <w:gridSpan w:val="3"/>
            <w:vAlign w:val="center"/>
          </w:tcPr>
          <w:p w14:paraId="1590BAF3" w14:textId="03554F9A"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11 (27.5%)</w:t>
            </w:r>
          </w:p>
        </w:tc>
        <w:tc>
          <w:tcPr>
            <w:tcW w:w="4590" w:type="dxa"/>
            <w:gridSpan w:val="2"/>
            <w:vAlign w:val="center"/>
          </w:tcPr>
          <w:p w14:paraId="539C9849" w14:textId="725CD0F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w:t>
            </w:r>
            <w:r w:rsidR="00533DBA">
              <w:rPr>
                <w:rFonts w:asciiTheme="minorHAnsi" w:hAnsiTheme="minorHAnsi" w:cstheme="minorHAnsi"/>
                <w:sz w:val="18"/>
                <w:szCs w:val="18"/>
              </w:rPr>
              <w:t>97 (0.34-2.58, p=0.9</w:t>
            </w:r>
            <w:r w:rsidR="00DC3CB6">
              <w:rPr>
                <w:rFonts w:asciiTheme="minorHAnsi" w:hAnsiTheme="minorHAnsi" w:cstheme="minorHAnsi"/>
                <w:sz w:val="18"/>
                <w:szCs w:val="18"/>
              </w:rPr>
              <w:t>5</w:t>
            </w:r>
            <w:r>
              <w:rPr>
                <w:rFonts w:asciiTheme="minorHAnsi" w:hAnsiTheme="minorHAnsi" w:cstheme="minorHAnsi"/>
                <w:sz w:val="18"/>
                <w:szCs w:val="18"/>
              </w:rPr>
              <w:t>)</w:t>
            </w:r>
          </w:p>
        </w:tc>
      </w:tr>
      <w:tr w:rsidR="00E022E3" w:rsidRPr="009119A5" w14:paraId="0F0C1B6F" w14:textId="77777777" w:rsidTr="009E54FE">
        <w:trPr>
          <w:trHeight w:val="288"/>
        </w:trPr>
        <w:tc>
          <w:tcPr>
            <w:tcW w:w="2790" w:type="dxa"/>
            <w:vAlign w:val="center"/>
          </w:tcPr>
          <w:p w14:paraId="38ED6A57" w14:textId="4E147404" w:rsidR="00E022E3"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071569A5" w14:textId="01B39ABE"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 (62.5%)</w:t>
            </w:r>
          </w:p>
        </w:tc>
        <w:tc>
          <w:tcPr>
            <w:tcW w:w="1530" w:type="dxa"/>
            <w:gridSpan w:val="3"/>
            <w:vAlign w:val="center"/>
          </w:tcPr>
          <w:p w14:paraId="5B8290D8" w14:textId="624423F8"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3 (37.5%)</w:t>
            </w:r>
          </w:p>
        </w:tc>
        <w:tc>
          <w:tcPr>
            <w:tcW w:w="4590" w:type="dxa"/>
            <w:gridSpan w:val="2"/>
            <w:vAlign w:val="center"/>
          </w:tcPr>
          <w:p w14:paraId="5E80D22E" w14:textId="6DCA70E5"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0.8</w:t>
            </w:r>
            <w:r w:rsidR="00533DBA">
              <w:rPr>
                <w:rFonts w:asciiTheme="minorHAnsi" w:hAnsiTheme="minorHAnsi" w:cstheme="minorHAnsi"/>
                <w:sz w:val="18"/>
                <w:szCs w:val="18"/>
              </w:rPr>
              <w:t>4</w:t>
            </w:r>
            <w:r>
              <w:rPr>
                <w:rFonts w:asciiTheme="minorHAnsi" w:hAnsiTheme="minorHAnsi" w:cstheme="minorHAnsi"/>
                <w:sz w:val="18"/>
                <w:szCs w:val="18"/>
              </w:rPr>
              <w:t xml:space="preserve"> (0.11-4.</w:t>
            </w:r>
            <w:r w:rsidR="00533DBA">
              <w:rPr>
                <w:rFonts w:asciiTheme="minorHAnsi" w:hAnsiTheme="minorHAnsi" w:cstheme="minorHAnsi"/>
                <w:sz w:val="18"/>
                <w:szCs w:val="18"/>
              </w:rPr>
              <w:t>83, p=0.85</w:t>
            </w:r>
            <w:r>
              <w:rPr>
                <w:rFonts w:asciiTheme="minorHAnsi" w:hAnsiTheme="minorHAnsi" w:cstheme="minorHAnsi"/>
                <w:sz w:val="18"/>
                <w:szCs w:val="18"/>
              </w:rPr>
              <w:t>)</w:t>
            </w:r>
          </w:p>
        </w:tc>
      </w:tr>
      <w:tr w:rsidR="00E022E3" w:rsidRPr="009119A5" w14:paraId="08BEFEFC" w14:textId="77777777" w:rsidTr="009E54FE">
        <w:trPr>
          <w:trHeight w:val="288"/>
        </w:trPr>
        <w:tc>
          <w:tcPr>
            <w:tcW w:w="2790" w:type="dxa"/>
            <w:vAlign w:val="center"/>
          </w:tcPr>
          <w:p w14:paraId="7321CE65" w14:textId="2248B2AF" w:rsidR="00E022E3"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72F7E124" w14:textId="59FBB2B2" w:rsidR="00E022E3"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278 (72.8%)</w:t>
            </w:r>
          </w:p>
        </w:tc>
        <w:tc>
          <w:tcPr>
            <w:tcW w:w="1530" w:type="dxa"/>
            <w:gridSpan w:val="3"/>
            <w:vAlign w:val="center"/>
          </w:tcPr>
          <w:p w14:paraId="2A850403" w14:textId="28034FAD" w:rsidR="00E022E3"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104 (27.2%)</w:t>
            </w:r>
          </w:p>
        </w:tc>
        <w:tc>
          <w:tcPr>
            <w:tcW w:w="4590" w:type="dxa"/>
            <w:gridSpan w:val="2"/>
            <w:vAlign w:val="center"/>
          </w:tcPr>
          <w:p w14:paraId="77476372" w14:textId="7DFF9958" w:rsidR="00E022E3" w:rsidRPr="000966FB" w:rsidRDefault="00E022E3" w:rsidP="00E022E3">
            <w:pPr>
              <w:pStyle w:val="NoSpacing"/>
              <w:jc w:val="right"/>
              <w:rPr>
                <w:rFonts w:asciiTheme="minorHAnsi" w:hAnsiTheme="minorHAnsi" w:cstheme="minorHAnsi"/>
                <w:sz w:val="18"/>
                <w:szCs w:val="18"/>
              </w:rPr>
            </w:pPr>
            <w:r w:rsidRPr="00260272">
              <w:rPr>
                <w:rFonts w:asciiTheme="minorHAnsi" w:hAnsiTheme="minorHAnsi" w:cstheme="minorHAnsi"/>
                <w:sz w:val="18"/>
                <w:szCs w:val="18"/>
              </w:rPr>
              <w:t>1.</w:t>
            </w:r>
            <w:r w:rsidR="00533DBA">
              <w:rPr>
                <w:rFonts w:asciiTheme="minorHAnsi" w:hAnsiTheme="minorHAnsi" w:cstheme="minorHAnsi"/>
                <w:sz w:val="18"/>
                <w:szCs w:val="18"/>
              </w:rPr>
              <w:t>82 (0.98-3.52, p=0.0</w:t>
            </w:r>
            <w:r w:rsidR="00DC3CB6">
              <w:rPr>
                <w:rFonts w:asciiTheme="minorHAnsi" w:hAnsiTheme="minorHAnsi" w:cstheme="minorHAnsi"/>
                <w:sz w:val="18"/>
                <w:szCs w:val="18"/>
              </w:rPr>
              <w:t>7</w:t>
            </w:r>
            <w:r w:rsidRPr="00260272">
              <w:rPr>
                <w:rFonts w:asciiTheme="minorHAnsi" w:hAnsiTheme="minorHAnsi" w:cstheme="minorHAnsi"/>
                <w:sz w:val="18"/>
                <w:szCs w:val="18"/>
              </w:rPr>
              <w:t>)</w:t>
            </w:r>
          </w:p>
        </w:tc>
      </w:tr>
    </w:tbl>
    <w:p w14:paraId="10861ED8" w14:textId="045A1061" w:rsidR="004450B8" w:rsidRDefault="004450B8" w:rsidP="00295F5C">
      <w:pPr>
        <w:spacing w:line="480" w:lineRule="auto"/>
        <w:rPr>
          <w:rFonts w:asciiTheme="minorHAnsi" w:hAnsiTheme="minorHAnsi" w:cstheme="minorHAnsi"/>
          <w:sz w:val="22"/>
          <w:szCs w:val="22"/>
        </w:rPr>
      </w:pPr>
    </w:p>
    <w:p w14:paraId="35625002"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MUL: membranous urethra length</w:t>
      </w:r>
    </w:p>
    <w:p w14:paraId="17A431A0"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LD: levator diameter</w:t>
      </w:r>
      <w:r w:rsidRPr="0040096C">
        <w:rPr>
          <w:rFonts w:asciiTheme="minorHAnsi" w:hAnsiTheme="minorHAnsi" w:cstheme="minorHAnsi"/>
          <w:sz w:val="20"/>
          <w:szCs w:val="20"/>
        </w:rPr>
        <w:br/>
      </w:r>
      <w:proofErr w:type="spellStart"/>
      <w:r w:rsidRPr="0040096C">
        <w:rPr>
          <w:rFonts w:asciiTheme="minorHAnsi" w:hAnsiTheme="minorHAnsi" w:cstheme="minorHAnsi"/>
          <w:sz w:val="20"/>
          <w:szCs w:val="20"/>
        </w:rPr>
        <w:t>aMUP</w:t>
      </w:r>
      <w:proofErr w:type="spellEnd"/>
      <w:r w:rsidRPr="0040096C">
        <w:rPr>
          <w:rFonts w:asciiTheme="minorHAnsi" w:hAnsiTheme="minorHAnsi" w:cstheme="minorHAnsi"/>
          <w:sz w:val="20"/>
          <w:szCs w:val="20"/>
        </w:rPr>
        <w:t>: angle between membranous urethra and prostatic axis</w:t>
      </w:r>
    </w:p>
    <w:p w14:paraId="674729E7" w14:textId="77777777" w:rsidR="006440AF" w:rsidRDefault="006440AF">
      <w:pPr>
        <w:rPr>
          <w:rFonts w:asciiTheme="minorHAnsi" w:hAnsiTheme="minorHAnsi" w:cstheme="minorHAnsi"/>
          <w:b/>
          <w:sz w:val="22"/>
          <w:szCs w:val="22"/>
        </w:rPr>
      </w:pPr>
      <w:r>
        <w:rPr>
          <w:rFonts w:asciiTheme="minorHAnsi" w:hAnsiTheme="minorHAnsi" w:cstheme="minorHAnsi"/>
          <w:b/>
          <w:sz w:val="22"/>
          <w:szCs w:val="22"/>
        </w:rPr>
        <w:br w:type="page"/>
      </w:r>
    </w:p>
    <w:p w14:paraId="61C4C23B" w14:textId="07B1BFDE" w:rsidR="004450B8" w:rsidRDefault="004450B8"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lastRenderedPageBreak/>
        <w:t>Table 3</w:t>
      </w:r>
      <w:r>
        <w:rPr>
          <w:rFonts w:asciiTheme="minorHAnsi" w:hAnsiTheme="minorHAnsi" w:cstheme="minorHAnsi"/>
          <w:sz w:val="22"/>
          <w:szCs w:val="22"/>
        </w:rPr>
        <w:t xml:space="preserve">. </w:t>
      </w:r>
      <w:r w:rsidR="006440AF">
        <w:rPr>
          <w:rFonts w:asciiTheme="minorHAnsi" w:hAnsiTheme="minorHAnsi" w:cstheme="minorHAnsi"/>
          <w:sz w:val="22"/>
          <w:szCs w:val="22"/>
        </w:rPr>
        <w:t>Univariable and multi-variable analyses of continence at 6 months post-radical prostatectomy</w:t>
      </w:r>
      <w:r w:rsidR="00DC5472">
        <w:rPr>
          <w:rFonts w:asciiTheme="minorHAnsi" w:hAnsiTheme="minorHAnsi" w:cstheme="minorHAnsi"/>
          <w:sz w:val="22"/>
          <w:szCs w:val="22"/>
        </w:rPr>
        <w:t>. Odds ratios below ‘1’ indicate a lesser risk of incontinence.</w:t>
      </w:r>
      <w:r w:rsidR="001B56AD">
        <w:rPr>
          <w:rFonts w:asciiTheme="minorHAnsi" w:hAnsiTheme="minorHAnsi" w:cstheme="minorHAnsi"/>
          <w:sz w:val="22"/>
          <w:szCs w:val="22"/>
        </w:rPr>
        <w:t xml:space="preserve"> Reference for PI-RADS scores is PI-RADS 3. Reference for grade group is grade group 1.</w:t>
      </w:r>
    </w:p>
    <w:tbl>
      <w:tblPr>
        <w:tblStyle w:val="TableGrid"/>
        <w:tblW w:w="10440" w:type="dxa"/>
        <w:tblInd w:w="-455" w:type="dxa"/>
        <w:tblLook w:val="04A0" w:firstRow="1" w:lastRow="0" w:firstColumn="1" w:lastColumn="0" w:noHBand="0" w:noVBand="1"/>
      </w:tblPr>
      <w:tblGrid>
        <w:gridCol w:w="2790"/>
        <w:gridCol w:w="1530"/>
        <w:gridCol w:w="810"/>
        <w:gridCol w:w="90"/>
        <w:gridCol w:w="630"/>
        <w:gridCol w:w="2340"/>
        <w:gridCol w:w="2250"/>
      </w:tblGrid>
      <w:tr w:rsidR="00E022E3" w:rsidRPr="009119A5" w14:paraId="6E64B535" w14:textId="77777777" w:rsidTr="009E54FE">
        <w:trPr>
          <w:trHeight w:val="288"/>
        </w:trPr>
        <w:tc>
          <w:tcPr>
            <w:tcW w:w="5130" w:type="dxa"/>
            <w:gridSpan w:val="3"/>
            <w:tcBorders>
              <w:right w:val="nil"/>
            </w:tcBorders>
            <w:vAlign w:val="center"/>
          </w:tcPr>
          <w:p w14:paraId="65C8042D" w14:textId="5C1A2203"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MRI Variables Alone</w:t>
            </w:r>
            <w:r w:rsidRPr="009119A5">
              <w:rPr>
                <w:rFonts w:asciiTheme="minorHAnsi" w:hAnsiTheme="minorHAnsi" w:cstheme="minorHAnsi"/>
                <w:sz w:val="18"/>
                <w:szCs w:val="18"/>
              </w:rPr>
              <w:t xml:space="preserve">, N = </w:t>
            </w:r>
            <w:r>
              <w:rPr>
                <w:rFonts w:asciiTheme="minorHAnsi" w:hAnsiTheme="minorHAnsi" w:cstheme="minorHAnsi"/>
                <w:sz w:val="18"/>
                <w:szCs w:val="18"/>
              </w:rPr>
              <w:t>414</w:t>
            </w:r>
          </w:p>
        </w:tc>
        <w:tc>
          <w:tcPr>
            <w:tcW w:w="5310" w:type="dxa"/>
            <w:gridSpan w:val="4"/>
            <w:tcBorders>
              <w:left w:val="nil"/>
            </w:tcBorders>
            <w:vAlign w:val="center"/>
          </w:tcPr>
          <w:p w14:paraId="45552477" w14:textId="5EF32C33"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Pr>
                <w:rFonts w:asciiTheme="minorHAnsi" w:hAnsiTheme="minorHAnsi" w:cstheme="minorHAnsi"/>
                <w:sz w:val="18"/>
                <w:szCs w:val="18"/>
              </w:rPr>
              <w:t xml:space="preserve"> 0.70</w:t>
            </w:r>
            <w:r w:rsidR="00D55F4A">
              <w:rPr>
                <w:rFonts w:asciiTheme="minorHAnsi" w:hAnsiTheme="minorHAnsi" w:cstheme="minorHAnsi"/>
                <w:sz w:val="18"/>
                <w:szCs w:val="18"/>
              </w:rPr>
              <w:t>5</w:t>
            </w:r>
            <w:r w:rsidRPr="009119A5">
              <w:rPr>
                <w:rFonts w:asciiTheme="minorHAnsi" w:hAnsiTheme="minorHAnsi" w:cstheme="minorHAnsi"/>
                <w:sz w:val="18"/>
                <w:szCs w:val="18"/>
              </w:rPr>
              <w:t xml:space="preserve"> </w:t>
            </w:r>
          </w:p>
        </w:tc>
      </w:tr>
      <w:tr w:rsidR="00E022E3" w:rsidRPr="009119A5" w14:paraId="17278FAC" w14:textId="77777777" w:rsidTr="009E54FE">
        <w:trPr>
          <w:trHeight w:val="288"/>
        </w:trPr>
        <w:tc>
          <w:tcPr>
            <w:tcW w:w="2790" w:type="dxa"/>
            <w:vAlign w:val="center"/>
          </w:tcPr>
          <w:p w14:paraId="28889323" w14:textId="77777777" w:rsidR="00E022E3" w:rsidRPr="009119A5" w:rsidRDefault="00E022E3" w:rsidP="009E54FE">
            <w:pPr>
              <w:pStyle w:val="NoSpacing"/>
              <w:jc w:val="right"/>
              <w:rPr>
                <w:rFonts w:asciiTheme="minorHAnsi" w:hAnsiTheme="minorHAnsi" w:cstheme="minorHAnsi"/>
                <w:sz w:val="18"/>
                <w:szCs w:val="18"/>
              </w:rPr>
            </w:pPr>
          </w:p>
        </w:tc>
        <w:tc>
          <w:tcPr>
            <w:tcW w:w="1530" w:type="dxa"/>
            <w:vAlign w:val="center"/>
          </w:tcPr>
          <w:p w14:paraId="1A817A50"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743E054F"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0A5E9506"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6987BB41"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7929D390" w14:textId="77777777" w:rsidTr="009E54FE">
        <w:trPr>
          <w:trHeight w:val="288"/>
        </w:trPr>
        <w:tc>
          <w:tcPr>
            <w:tcW w:w="2790" w:type="dxa"/>
            <w:vAlign w:val="center"/>
          </w:tcPr>
          <w:p w14:paraId="63BF71E7"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MUL, coronal (</w:t>
            </w:r>
            <w:r>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4281A281" w14:textId="31F378F2"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15.3 (3.7)</w:t>
            </w:r>
          </w:p>
        </w:tc>
        <w:tc>
          <w:tcPr>
            <w:tcW w:w="1530" w:type="dxa"/>
            <w:gridSpan w:val="3"/>
            <w:vAlign w:val="center"/>
          </w:tcPr>
          <w:p w14:paraId="024404CF" w14:textId="64739C47"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13.5 (3.9)</w:t>
            </w:r>
          </w:p>
        </w:tc>
        <w:tc>
          <w:tcPr>
            <w:tcW w:w="2340" w:type="dxa"/>
            <w:vAlign w:val="center"/>
          </w:tcPr>
          <w:p w14:paraId="067939CB" w14:textId="0C581B96" w:rsidR="00E022E3" w:rsidRPr="009119A5" w:rsidRDefault="00D55F4A" w:rsidP="009E54FE">
            <w:pPr>
              <w:pStyle w:val="NoSpacing"/>
              <w:rPr>
                <w:rFonts w:asciiTheme="minorHAnsi" w:hAnsiTheme="minorHAnsi" w:cstheme="minorHAnsi"/>
                <w:sz w:val="18"/>
                <w:szCs w:val="18"/>
              </w:rPr>
            </w:pPr>
            <w:r w:rsidRPr="00E3399A">
              <w:rPr>
                <w:rFonts w:asciiTheme="minorHAnsi" w:hAnsiTheme="minorHAnsi" w:cstheme="minorHAnsi"/>
                <w:sz w:val="18"/>
                <w:szCs w:val="18"/>
                <w:highlight w:val="yellow"/>
              </w:rPr>
              <w:t>0.87 (0.81-0.94, p=0.00</w:t>
            </w:r>
            <w:r w:rsidR="00E022E3" w:rsidRPr="00E3399A">
              <w:rPr>
                <w:rFonts w:asciiTheme="minorHAnsi" w:hAnsiTheme="minorHAnsi" w:cstheme="minorHAnsi"/>
                <w:sz w:val="18"/>
                <w:szCs w:val="18"/>
                <w:highlight w:val="yellow"/>
              </w:rPr>
              <w:t>1</w:t>
            </w:r>
            <w:r w:rsidRPr="00E3399A">
              <w:rPr>
                <w:rFonts w:asciiTheme="minorHAnsi" w:hAnsiTheme="minorHAnsi" w:cstheme="minorHAnsi"/>
                <w:sz w:val="18"/>
                <w:szCs w:val="18"/>
                <w:highlight w:val="yellow"/>
              </w:rPr>
              <w:t>)</w:t>
            </w:r>
          </w:p>
        </w:tc>
        <w:tc>
          <w:tcPr>
            <w:tcW w:w="2250" w:type="dxa"/>
            <w:vAlign w:val="center"/>
          </w:tcPr>
          <w:p w14:paraId="73AAC3E3" w14:textId="2B270B6E" w:rsidR="00E022E3" w:rsidRPr="009119A5" w:rsidRDefault="00E022E3" w:rsidP="009E54FE">
            <w:pPr>
              <w:pStyle w:val="NoSpacing"/>
              <w:rPr>
                <w:rFonts w:asciiTheme="minorHAnsi" w:hAnsiTheme="minorHAnsi" w:cstheme="minorHAnsi"/>
                <w:sz w:val="18"/>
                <w:szCs w:val="18"/>
              </w:rPr>
            </w:pPr>
            <w:r w:rsidRPr="00E022E3">
              <w:rPr>
                <w:rFonts w:asciiTheme="minorHAnsi" w:hAnsiTheme="minorHAnsi" w:cstheme="minorHAnsi"/>
                <w:sz w:val="18"/>
                <w:szCs w:val="18"/>
                <w:highlight w:val="yellow"/>
              </w:rPr>
              <w:t>0.</w:t>
            </w:r>
            <w:r w:rsidR="00D55F4A">
              <w:rPr>
                <w:rFonts w:asciiTheme="minorHAnsi" w:hAnsiTheme="minorHAnsi" w:cstheme="minorHAnsi"/>
                <w:sz w:val="18"/>
                <w:szCs w:val="18"/>
                <w:highlight w:val="yellow"/>
              </w:rPr>
              <w:t>87 (0.79-0.95, p=0.003</w:t>
            </w:r>
            <w:r w:rsidRPr="00E022E3">
              <w:rPr>
                <w:rFonts w:asciiTheme="minorHAnsi" w:hAnsiTheme="minorHAnsi" w:cstheme="minorHAnsi"/>
                <w:sz w:val="18"/>
                <w:szCs w:val="18"/>
                <w:highlight w:val="yellow"/>
              </w:rPr>
              <w:t>)</w:t>
            </w:r>
          </w:p>
        </w:tc>
      </w:tr>
      <w:tr w:rsidR="00E022E3" w:rsidRPr="009119A5" w14:paraId="7EF8846D" w14:textId="77777777" w:rsidTr="009E54FE">
        <w:trPr>
          <w:trHeight w:val="288"/>
        </w:trPr>
        <w:tc>
          <w:tcPr>
            <w:tcW w:w="2790" w:type="dxa"/>
            <w:vAlign w:val="center"/>
          </w:tcPr>
          <w:p w14:paraId="54A632D2"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06F897B5" w14:textId="13EE4ECF"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16.7 (3.0</w:t>
            </w:r>
            <w:r w:rsidR="00E022E3">
              <w:rPr>
                <w:rFonts w:asciiTheme="minorHAnsi" w:hAnsiTheme="minorHAnsi" w:cstheme="minorHAnsi"/>
                <w:sz w:val="18"/>
                <w:szCs w:val="18"/>
              </w:rPr>
              <w:t>)</w:t>
            </w:r>
          </w:p>
        </w:tc>
        <w:tc>
          <w:tcPr>
            <w:tcW w:w="1530" w:type="dxa"/>
            <w:gridSpan w:val="3"/>
            <w:vAlign w:val="center"/>
          </w:tcPr>
          <w:p w14:paraId="09E0A012" w14:textId="3852187E"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17.5 (3.6</w:t>
            </w:r>
            <w:r w:rsidR="00E022E3">
              <w:rPr>
                <w:rFonts w:asciiTheme="minorHAnsi" w:hAnsiTheme="minorHAnsi" w:cstheme="minorHAnsi"/>
                <w:sz w:val="18"/>
                <w:szCs w:val="18"/>
              </w:rPr>
              <w:t>)</w:t>
            </w:r>
          </w:p>
        </w:tc>
        <w:tc>
          <w:tcPr>
            <w:tcW w:w="2340" w:type="dxa"/>
            <w:vAlign w:val="center"/>
          </w:tcPr>
          <w:p w14:paraId="0969978D" w14:textId="031ABDD9"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08 (1.00-1.18, p=0.06</w:t>
            </w:r>
            <w:r>
              <w:rPr>
                <w:rFonts w:asciiTheme="minorHAnsi" w:hAnsiTheme="minorHAnsi" w:cstheme="minorHAnsi"/>
                <w:sz w:val="18"/>
                <w:szCs w:val="18"/>
              </w:rPr>
              <w:t>)</w:t>
            </w:r>
          </w:p>
        </w:tc>
        <w:tc>
          <w:tcPr>
            <w:tcW w:w="2250" w:type="dxa"/>
            <w:vAlign w:val="center"/>
          </w:tcPr>
          <w:p w14:paraId="32E7BADD" w14:textId="2E1CB275"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01 (0.89-1.15, p=0.83</w:t>
            </w:r>
            <w:r>
              <w:rPr>
                <w:rFonts w:asciiTheme="minorHAnsi" w:hAnsiTheme="minorHAnsi" w:cstheme="minorHAnsi"/>
                <w:sz w:val="18"/>
                <w:szCs w:val="18"/>
              </w:rPr>
              <w:t>)</w:t>
            </w:r>
          </w:p>
        </w:tc>
      </w:tr>
      <w:tr w:rsidR="00E022E3" w:rsidRPr="009119A5" w14:paraId="2497FC28" w14:textId="77777777" w:rsidTr="009E54FE">
        <w:trPr>
          <w:trHeight w:val="288"/>
        </w:trPr>
        <w:tc>
          <w:tcPr>
            <w:tcW w:w="2790" w:type="dxa"/>
            <w:vAlign w:val="center"/>
          </w:tcPr>
          <w:p w14:paraId="1EFD4921"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75EB3075" w14:textId="67A81A46"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37.1 (4.2</w:t>
            </w:r>
            <w:r w:rsidR="00E022E3">
              <w:rPr>
                <w:rFonts w:asciiTheme="minorHAnsi" w:hAnsiTheme="minorHAnsi" w:cstheme="minorHAnsi"/>
                <w:sz w:val="18"/>
                <w:szCs w:val="18"/>
              </w:rPr>
              <w:t>)</w:t>
            </w:r>
          </w:p>
        </w:tc>
        <w:tc>
          <w:tcPr>
            <w:tcW w:w="1530" w:type="dxa"/>
            <w:gridSpan w:val="3"/>
            <w:vAlign w:val="center"/>
          </w:tcPr>
          <w:p w14:paraId="5AAEDE8E" w14:textId="3704D40F" w:rsidR="00E022E3" w:rsidRPr="009119A5"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37.7 (4.5</w:t>
            </w:r>
            <w:r w:rsidR="00E022E3">
              <w:rPr>
                <w:rFonts w:asciiTheme="minorHAnsi" w:hAnsiTheme="minorHAnsi" w:cstheme="minorHAnsi"/>
                <w:sz w:val="18"/>
                <w:szCs w:val="18"/>
              </w:rPr>
              <w:t>)</w:t>
            </w:r>
          </w:p>
        </w:tc>
        <w:tc>
          <w:tcPr>
            <w:tcW w:w="2340" w:type="dxa"/>
            <w:vAlign w:val="center"/>
          </w:tcPr>
          <w:p w14:paraId="019CD6B7" w14:textId="33F1E44E"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03 (0.97-1.10, p-0.32</w:t>
            </w:r>
            <w:r>
              <w:rPr>
                <w:rFonts w:asciiTheme="minorHAnsi" w:hAnsiTheme="minorHAnsi" w:cstheme="minorHAnsi"/>
                <w:sz w:val="18"/>
                <w:szCs w:val="18"/>
              </w:rPr>
              <w:t>)</w:t>
            </w:r>
          </w:p>
        </w:tc>
        <w:tc>
          <w:tcPr>
            <w:tcW w:w="2250" w:type="dxa"/>
            <w:vAlign w:val="center"/>
          </w:tcPr>
          <w:p w14:paraId="78E5D7E2" w14:textId="5C33F9E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02 (0.94-1.12,</w:t>
            </w:r>
            <w:r w:rsidR="008E7C15">
              <w:rPr>
                <w:rFonts w:asciiTheme="minorHAnsi" w:hAnsiTheme="minorHAnsi" w:cstheme="minorHAnsi"/>
                <w:sz w:val="18"/>
                <w:szCs w:val="18"/>
              </w:rPr>
              <w:t xml:space="preserve"> </w:t>
            </w:r>
            <w:r w:rsidR="00D55F4A">
              <w:rPr>
                <w:rFonts w:asciiTheme="minorHAnsi" w:hAnsiTheme="minorHAnsi" w:cstheme="minorHAnsi"/>
                <w:sz w:val="18"/>
                <w:szCs w:val="18"/>
              </w:rPr>
              <w:t>p=0.6</w:t>
            </w:r>
            <w:r w:rsidR="008E7C15">
              <w:rPr>
                <w:rFonts w:asciiTheme="minorHAnsi" w:hAnsiTheme="minorHAnsi" w:cstheme="minorHAnsi"/>
                <w:sz w:val="18"/>
                <w:szCs w:val="18"/>
              </w:rPr>
              <w:t>1</w:t>
            </w:r>
            <w:r>
              <w:rPr>
                <w:rFonts w:asciiTheme="minorHAnsi" w:hAnsiTheme="minorHAnsi" w:cstheme="minorHAnsi"/>
                <w:sz w:val="18"/>
                <w:szCs w:val="18"/>
              </w:rPr>
              <w:t>)</w:t>
            </w:r>
          </w:p>
        </w:tc>
      </w:tr>
      <w:tr w:rsidR="00E022E3" w:rsidRPr="009119A5" w14:paraId="085769A4" w14:textId="77777777" w:rsidTr="009E54FE">
        <w:trPr>
          <w:trHeight w:val="288"/>
        </w:trPr>
        <w:tc>
          <w:tcPr>
            <w:tcW w:w="2790" w:type="dxa"/>
            <w:vAlign w:val="center"/>
          </w:tcPr>
          <w:p w14:paraId="75B13DB4" w14:textId="77777777" w:rsidR="00E022E3" w:rsidRPr="009119A5" w:rsidRDefault="00E022E3" w:rsidP="009E54FE">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2B9924EB" w14:textId="32E388DC"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129.2 (11.6)</w:t>
            </w:r>
          </w:p>
        </w:tc>
        <w:tc>
          <w:tcPr>
            <w:tcW w:w="1530" w:type="dxa"/>
            <w:gridSpan w:val="3"/>
            <w:vAlign w:val="center"/>
          </w:tcPr>
          <w:p w14:paraId="2D2A0F08" w14:textId="4182B4F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126.9 (11.9)</w:t>
            </w:r>
          </w:p>
        </w:tc>
        <w:tc>
          <w:tcPr>
            <w:tcW w:w="2340" w:type="dxa"/>
            <w:vAlign w:val="center"/>
          </w:tcPr>
          <w:p w14:paraId="418F8092" w14:textId="41685A8D"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0.98 (0.96-1.01, p=0.1</w:t>
            </w:r>
            <w:r w:rsidR="008E7C15">
              <w:rPr>
                <w:rFonts w:asciiTheme="minorHAnsi" w:hAnsiTheme="minorHAnsi" w:cstheme="minorHAnsi"/>
                <w:sz w:val="18"/>
                <w:szCs w:val="18"/>
              </w:rPr>
              <w:t>6</w:t>
            </w:r>
            <w:r>
              <w:rPr>
                <w:rFonts w:asciiTheme="minorHAnsi" w:hAnsiTheme="minorHAnsi" w:cstheme="minorHAnsi"/>
                <w:sz w:val="18"/>
                <w:szCs w:val="18"/>
              </w:rPr>
              <w:t>)</w:t>
            </w:r>
          </w:p>
        </w:tc>
        <w:tc>
          <w:tcPr>
            <w:tcW w:w="2250" w:type="dxa"/>
            <w:vAlign w:val="center"/>
          </w:tcPr>
          <w:p w14:paraId="394432A3" w14:textId="3131BD3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0.99 (0.96-1.01, p=0.2</w:t>
            </w:r>
            <w:r w:rsidR="00D55F4A">
              <w:rPr>
                <w:rFonts w:asciiTheme="minorHAnsi" w:hAnsiTheme="minorHAnsi" w:cstheme="minorHAnsi"/>
                <w:sz w:val="18"/>
                <w:szCs w:val="18"/>
              </w:rPr>
              <w:t>7</w:t>
            </w:r>
            <w:r>
              <w:rPr>
                <w:rFonts w:asciiTheme="minorHAnsi" w:hAnsiTheme="minorHAnsi" w:cstheme="minorHAnsi"/>
                <w:sz w:val="18"/>
                <w:szCs w:val="18"/>
              </w:rPr>
              <w:t>)</w:t>
            </w:r>
          </w:p>
        </w:tc>
      </w:tr>
      <w:tr w:rsidR="00E022E3" w:rsidRPr="009119A5" w14:paraId="41BE8D36" w14:textId="77777777" w:rsidTr="009E54FE">
        <w:trPr>
          <w:trHeight w:val="288"/>
        </w:trPr>
        <w:tc>
          <w:tcPr>
            <w:tcW w:w="2790" w:type="dxa"/>
            <w:vAlign w:val="center"/>
          </w:tcPr>
          <w:p w14:paraId="1C7C6490" w14:textId="77777777" w:rsidR="00E022E3" w:rsidRPr="009119A5" w:rsidRDefault="00E022E3" w:rsidP="009E54FE">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6B2AB3B0" w14:textId="58F39CAF"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55.2 (12.0)</w:t>
            </w:r>
          </w:p>
        </w:tc>
        <w:tc>
          <w:tcPr>
            <w:tcW w:w="1530" w:type="dxa"/>
            <w:gridSpan w:val="3"/>
            <w:vAlign w:val="center"/>
          </w:tcPr>
          <w:p w14:paraId="603C5CCC" w14:textId="222C009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57.3 (12.5)</w:t>
            </w:r>
          </w:p>
        </w:tc>
        <w:tc>
          <w:tcPr>
            <w:tcW w:w="2340" w:type="dxa"/>
            <w:vAlign w:val="center"/>
          </w:tcPr>
          <w:p w14:paraId="06C0F3AD" w14:textId="5B66AC63" w:rsidR="00E022E3" w:rsidRPr="00A25FCD" w:rsidRDefault="00E022E3" w:rsidP="009E54FE">
            <w:pPr>
              <w:pStyle w:val="NoSpacing"/>
              <w:rPr>
                <w:rFonts w:asciiTheme="minorHAnsi" w:hAnsiTheme="minorHAnsi" w:cstheme="minorHAnsi"/>
                <w:sz w:val="18"/>
                <w:szCs w:val="18"/>
              </w:rPr>
            </w:pPr>
            <w:r w:rsidRPr="00A25FCD">
              <w:rPr>
                <w:rFonts w:asciiTheme="minorHAnsi" w:hAnsiTheme="minorHAnsi" w:cstheme="minorHAnsi"/>
                <w:sz w:val="18"/>
                <w:szCs w:val="18"/>
              </w:rPr>
              <w:t>1.01 (0.99-1.04, p=0.21)</w:t>
            </w:r>
          </w:p>
        </w:tc>
        <w:tc>
          <w:tcPr>
            <w:tcW w:w="2250" w:type="dxa"/>
            <w:vAlign w:val="center"/>
          </w:tcPr>
          <w:p w14:paraId="3350E71A" w14:textId="51064152" w:rsidR="00E022E3" w:rsidRPr="00A25FCD" w:rsidRDefault="00E022E3" w:rsidP="009E54FE">
            <w:pPr>
              <w:pStyle w:val="NoSpacing"/>
              <w:rPr>
                <w:rFonts w:asciiTheme="minorHAnsi" w:hAnsiTheme="minorHAnsi" w:cstheme="minorHAnsi"/>
                <w:sz w:val="18"/>
                <w:szCs w:val="18"/>
              </w:rPr>
            </w:pPr>
            <w:r w:rsidRPr="00A25FCD">
              <w:rPr>
                <w:rFonts w:asciiTheme="minorHAnsi" w:hAnsiTheme="minorHAnsi" w:cstheme="minorHAnsi"/>
                <w:sz w:val="18"/>
                <w:szCs w:val="18"/>
              </w:rPr>
              <w:t>1.01 (0.9</w:t>
            </w:r>
            <w:r w:rsidR="00D55F4A">
              <w:rPr>
                <w:rFonts w:asciiTheme="minorHAnsi" w:hAnsiTheme="minorHAnsi" w:cstheme="minorHAnsi"/>
                <w:sz w:val="18"/>
                <w:szCs w:val="18"/>
              </w:rPr>
              <w:t>8</w:t>
            </w:r>
            <w:r w:rsidRPr="00A25FCD">
              <w:rPr>
                <w:rFonts w:asciiTheme="minorHAnsi" w:hAnsiTheme="minorHAnsi" w:cstheme="minorHAnsi"/>
                <w:sz w:val="18"/>
                <w:szCs w:val="18"/>
              </w:rPr>
              <w:t>-1.04, p=0.</w:t>
            </w:r>
            <w:r w:rsidR="00D55F4A">
              <w:rPr>
                <w:rFonts w:asciiTheme="minorHAnsi" w:hAnsiTheme="minorHAnsi" w:cstheme="minorHAnsi"/>
                <w:sz w:val="18"/>
                <w:szCs w:val="18"/>
              </w:rPr>
              <w:t>43</w:t>
            </w:r>
            <w:r w:rsidRPr="00A25FCD">
              <w:rPr>
                <w:rFonts w:asciiTheme="minorHAnsi" w:hAnsiTheme="minorHAnsi" w:cstheme="minorHAnsi"/>
                <w:sz w:val="18"/>
                <w:szCs w:val="18"/>
              </w:rPr>
              <w:t>)</w:t>
            </w:r>
          </w:p>
        </w:tc>
      </w:tr>
      <w:tr w:rsidR="00E022E3" w:rsidRPr="009119A5" w14:paraId="1A46BD73" w14:textId="77777777" w:rsidTr="009E54FE">
        <w:trPr>
          <w:trHeight w:val="288"/>
        </w:trPr>
        <w:tc>
          <w:tcPr>
            <w:tcW w:w="2790" w:type="dxa"/>
            <w:vAlign w:val="center"/>
          </w:tcPr>
          <w:p w14:paraId="463C365F"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0EFEA79E" w14:textId="3C595D94"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43.0 (22.1)</w:t>
            </w:r>
          </w:p>
        </w:tc>
        <w:tc>
          <w:tcPr>
            <w:tcW w:w="1530" w:type="dxa"/>
            <w:gridSpan w:val="3"/>
            <w:vAlign w:val="center"/>
          </w:tcPr>
          <w:p w14:paraId="5A71085A" w14:textId="4B11546F"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48.7 (30.9)</w:t>
            </w:r>
          </w:p>
        </w:tc>
        <w:tc>
          <w:tcPr>
            <w:tcW w:w="2340" w:type="dxa"/>
            <w:vAlign w:val="center"/>
          </w:tcPr>
          <w:p w14:paraId="3D5A4820" w14:textId="0CF031A7" w:rsidR="00E022E3" w:rsidRPr="00260272" w:rsidRDefault="00E022E3" w:rsidP="009E54FE">
            <w:pPr>
              <w:pStyle w:val="NoSpacing"/>
              <w:rPr>
                <w:rFonts w:asciiTheme="minorHAnsi" w:hAnsiTheme="minorHAnsi" w:cstheme="minorHAnsi"/>
                <w:sz w:val="18"/>
                <w:szCs w:val="18"/>
              </w:rPr>
            </w:pPr>
            <w:r w:rsidRPr="00260272">
              <w:rPr>
                <w:rFonts w:asciiTheme="minorHAnsi" w:hAnsiTheme="minorHAnsi" w:cstheme="minorHAnsi"/>
                <w:sz w:val="18"/>
                <w:szCs w:val="18"/>
              </w:rPr>
              <w:t>1.01 (1.00-1.02, p=0.08)</w:t>
            </w:r>
          </w:p>
        </w:tc>
        <w:tc>
          <w:tcPr>
            <w:tcW w:w="2250" w:type="dxa"/>
            <w:vAlign w:val="center"/>
          </w:tcPr>
          <w:p w14:paraId="4B8DCEE3" w14:textId="7804C80B" w:rsidR="00E022E3" w:rsidRPr="00260272" w:rsidRDefault="00E022E3" w:rsidP="009E54FE">
            <w:pPr>
              <w:pStyle w:val="NoSpacing"/>
              <w:rPr>
                <w:rFonts w:asciiTheme="minorHAnsi" w:hAnsiTheme="minorHAnsi" w:cstheme="minorHAnsi"/>
                <w:sz w:val="18"/>
                <w:szCs w:val="18"/>
              </w:rPr>
            </w:pPr>
            <w:r w:rsidRPr="00260272">
              <w:rPr>
                <w:rFonts w:asciiTheme="minorHAnsi" w:hAnsiTheme="minorHAnsi" w:cstheme="minorHAnsi"/>
                <w:sz w:val="18"/>
                <w:szCs w:val="18"/>
              </w:rPr>
              <w:t>1.01 (1.00-1.03, p=0.09)</w:t>
            </w:r>
          </w:p>
        </w:tc>
      </w:tr>
      <w:tr w:rsidR="00E022E3" w:rsidRPr="009119A5" w14:paraId="2BA67694" w14:textId="77777777" w:rsidTr="009E54FE">
        <w:trPr>
          <w:trHeight w:val="288"/>
        </w:trPr>
        <w:tc>
          <w:tcPr>
            <w:tcW w:w="2790" w:type="dxa"/>
            <w:vAlign w:val="center"/>
          </w:tcPr>
          <w:p w14:paraId="26DE963B"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44362AC7" w14:textId="78ED408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157 (90.2%)</w:t>
            </w:r>
          </w:p>
        </w:tc>
        <w:tc>
          <w:tcPr>
            <w:tcW w:w="1530" w:type="dxa"/>
            <w:gridSpan w:val="3"/>
            <w:vAlign w:val="center"/>
          </w:tcPr>
          <w:p w14:paraId="6D13E9DC" w14:textId="54D70E6F"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17 (9.8%)</w:t>
            </w:r>
          </w:p>
        </w:tc>
        <w:tc>
          <w:tcPr>
            <w:tcW w:w="2340" w:type="dxa"/>
            <w:vAlign w:val="center"/>
          </w:tcPr>
          <w:p w14:paraId="2FFF8765" w14:textId="7D217683" w:rsidR="00E022E3" w:rsidRPr="00A25FCD" w:rsidRDefault="00E022E3" w:rsidP="009E54FE">
            <w:pPr>
              <w:pStyle w:val="NoSpacing"/>
              <w:rPr>
                <w:rFonts w:asciiTheme="minorHAnsi" w:hAnsiTheme="minorHAnsi" w:cstheme="minorHAnsi"/>
                <w:sz w:val="18"/>
                <w:szCs w:val="18"/>
              </w:rPr>
            </w:pPr>
            <w:r w:rsidRPr="00A25FCD">
              <w:rPr>
                <w:rFonts w:asciiTheme="minorHAnsi" w:hAnsiTheme="minorHAnsi" w:cstheme="minorHAnsi"/>
                <w:sz w:val="18"/>
                <w:szCs w:val="18"/>
              </w:rPr>
              <w:t>1.01 (0.31-4.53, p=0.9</w:t>
            </w:r>
            <w:r w:rsidR="008E7C15">
              <w:rPr>
                <w:rFonts w:asciiTheme="minorHAnsi" w:hAnsiTheme="minorHAnsi" w:cstheme="minorHAnsi"/>
                <w:sz w:val="18"/>
                <w:szCs w:val="18"/>
              </w:rPr>
              <w:t>9</w:t>
            </w:r>
            <w:r w:rsidRPr="00A25FCD">
              <w:rPr>
                <w:rFonts w:asciiTheme="minorHAnsi" w:hAnsiTheme="minorHAnsi" w:cstheme="minorHAnsi"/>
                <w:sz w:val="18"/>
                <w:szCs w:val="18"/>
              </w:rPr>
              <w:t>)</w:t>
            </w:r>
          </w:p>
        </w:tc>
        <w:tc>
          <w:tcPr>
            <w:tcW w:w="2250" w:type="dxa"/>
            <w:vAlign w:val="center"/>
          </w:tcPr>
          <w:p w14:paraId="78FA0BE0" w14:textId="6A7B455B" w:rsidR="00E022E3" w:rsidRPr="00A25FCD"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1.70 (0.43-11.35, p=0.50</w:t>
            </w:r>
            <w:r w:rsidR="00E022E3" w:rsidRPr="00A25FCD">
              <w:rPr>
                <w:rFonts w:asciiTheme="minorHAnsi" w:hAnsiTheme="minorHAnsi" w:cstheme="minorHAnsi"/>
                <w:sz w:val="18"/>
                <w:szCs w:val="18"/>
              </w:rPr>
              <w:t>)</w:t>
            </w:r>
          </w:p>
        </w:tc>
      </w:tr>
      <w:tr w:rsidR="00E022E3" w:rsidRPr="009119A5" w14:paraId="7C52F119" w14:textId="77777777" w:rsidTr="009E54FE">
        <w:trPr>
          <w:trHeight w:val="288"/>
        </w:trPr>
        <w:tc>
          <w:tcPr>
            <w:tcW w:w="2790" w:type="dxa"/>
            <w:vAlign w:val="center"/>
          </w:tcPr>
          <w:p w14:paraId="2C1FDC51"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5D53CD04" w14:textId="49E1DD2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173 (82.0%)</w:t>
            </w:r>
          </w:p>
        </w:tc>
        <w:tc>
          <w:tcPr>
            <w:tcW w:w="1530" w:type="dxa"/>
            <w:gridSpan w:val="3"/>
            <w:vAlign w:val="center"/>
          </w:tcPr>
          <w:p w14:paraId="72ECF821" w14:textId="48D2AA2B"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38 (18.0%)</w:t>
            </w:r>
          </w:p>
        </w:tc>
        <w:tc>
          <w:tcPr>
            <w:tcW w:w="2340" w:type="dxa"/>
            <w:vAlign w:val="center"/>
          </w:tcPr>
          <w:p w14:paraId="07F7F67D" w14:textId="00894B5C" w:rsidR="00E022E3" w:rsidRPr="00A25FCD" w:rsidRDefault="00E022E3" w:rsidP="009E54FE">
            <w:pPr>
              <w:pStyle w:val="NoSpacing"/>
              <w:rPr>
                <w:rFonts w:asciiTheme="minorHAnsi" w:hAnsiTheme="minorHAnsi" w:cstheme="minorHAnsi"/>
                <w:sz w:val="18"/>
                <w:szCs w:val="18"/>
              </w:rPr>
            </w:pPr>
            <w:r w:rsidRPr="00A25FCD">
              <w:rPr>
                <w:rFonts w:asciiTheme="minorHAnsi" w:hAnsiTheme="minorHAnsi" w:cstheme="minorHAnsi"/>
                <w:sz w:val="18"/>
                <w:szCs w:val="18"/>
              </w:rPr>
              <w:t>2.05 (0.68-8.88, p=0.2</w:t>
            </w:r>
            <w:r w:rsidR="008E7C15">
              <w:rPr>
                <w:rFonts w:asciiTheme="minorHAnsi" w:hAnsiTheme="minorHAnsi" w:cstheme="minorHAnsi"/>
                <w:sz w:val="18"/>
                <w:szCs w:val="18"/>
              </w:rPr>
              <w:t>6</w:t>
            </w:r>
            <w:r w:rsidRPr="00A25FCD">
              <w:rPr>
                <w:rFonts w:asciiTheme="minorHAnsi" w:hAnsiTheme="minorHAnsi" w:cstheme="minorHAnsi"/>
                <w:sz w:val="18"/>
                <w:szCs w:val="18"/>
              </w:rPr>
              <w:t>)</w:t>
            </w:r>
          </w:p>
        </w:tc>
        <w:tc>
          <w:tcPr>
            <w:tcW w:w="2250" w:type="dxa"/>
            <w:vAlign w:val="center"/>
          </w:tcPr>
          <w:p w14:paraId="4EB7CD7C" w14:textId="16209B8A" w:rsidR="00E022E3" w:rsidRPr="00A25FCD" w:rsidRDefault="00D55F4A" w:rsidP="009E54FE">
            <w:pPr>
              <w:pStyle w:val="NoSpacing"/>
              <w:rPr>
                <w:rFonts w:asciiTheme="minorHAnsi" w:hAnsiTheme="minorHAnsi" w:cstheme="minorHAnsi"/>
                <w:sz w:val="18"/>
                <w:szCs w:val="18"/>
              </w:rPr>
            </w:pPr>
            <w:r>
              <w:rPr>
                <w:rFonts w:asciiTheme="minorHAnsi" w:hAnsiTheme="minorHAnsi" w:cstheme="minorHAnsi"/>
                <w:sz w:val="18"/>
                <w:szCs w:val="18"/>
              </w:rPr>
              <w:t>3.84 (1.04-24.98, p=0.08</w:t>
            </w:r>
            <w:r w:rsidR="00E022E3" w:rsidRPr="00260272">
              <w:rPr>
                <w:rFonts w:asciiTheme="minorHAnsi" w:hAnsiTheme="minorHAnsi" w:cstheme="minorHAnsi"/>
                <w:sz w:val="18"/>
                <w:szCs w:val="18"/>
              </w:rPr>
              <w:t>)</w:t>
            </w:r>
          </w:p>
        </w:tc>
      </w:tr>
      <w:tr w:rsidR="00E022E3" w:rsidRPr="009119A5" w14:paraId="32DC47C8" w14:textId="77777777" w:rsidTr="009E54FE">
        <w:trPr>
          <w:trHeight w:val="288"/>
        </w:trPr>
        <w:tc>
          <w:tcPr>
            <w:tcW w:w="2790" w:type="dxa"/>
            <w:vAlign w:val="center"/>
          </w:tcPr>
          <w:p w14:paraId="14F8513C" w14:textId="77777777"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155115BC" w14:textId="77777777" w:rsidR="00E022E3" w:rsidRDefault="00E022E3" w:rsidP="009E54FE">
            <w:pPr>
              <w:pStyle w:val="NoSpacing"/>
              <w:rPr>
                <w:rFonts w:asciiTheme="minorHAnsi" w:hAnsiTheme="minorHAnsi" w:cstheme="minorHAnsi"/>
                <w:sz w:val="18"/>
                <w:szCs w:val="18"/>
              </w:rPr>
            </w:pPr>
          </w:p>
        </w:tc>
        <w:tc>
          <w:tcPr>
            <w:tcW w:w="1530" w:type="dxa"/>
            <w:gridSpan w:val="3"/>
            <w:vAlign w:val="center"/>
          </w:tcPr>
          <w:p w14:paraId="62BB83D8" w14:textId="77777777" w:rsidR="00E022E3" w:rsidRDefault="00E022E3" w:rsidP="009E54FE">
            <w:pPr>
              <w:pStyle w:val="NoSpacing"/>
              <w:rPr>
                <w:rFonts w:asciiTheme="minorHAnsi" w:hAnsiTheme="minorHAnsi" w:cstheme="minorHAnsi"/>
                <w:sz w:val="18"/>
                <w:szCs w:val="18"/>
              </w:rPr>
            </w:pPr>
          </w:p>
        </w:tc>
        <w:tc>
          <w:tcPr>
            <w:tcW w:w="2340" w:type="dxa"/>
            <w:vAlign w:val="center"/>
          </w:tcPr>
          <w:p w14:paraId="4EBDD84C" w14:textId="77777777" w:rsidR="00E022E3" w:rsidRDefault="00E022E3" w:rsidP="009E54FE">
            <w:pPr>
              <w:pStyle w:val="NoSpacing"/>
              <w:rPr>
                <w:rFonts w:asciiTheme="minorHAnsi" w:hAnsiTheme="minorHAnsi" w:cstheme="minorHAnsi"/>
                <w:sz w:val="18"/>
                <w:szCs w:val="18"/>
              </w:rPr>
            </w:pPr>
          </w:p>
        </w:tc>
        <w:tc>
          <w:tcPr>
            <w:tcW w:w="2250" w:type="dxa"/>
            <w:vAlign w:val="center"/>
          </w:tcPr>
          <w:p w14:paraId="641FCBDA" w14:textId="77777777" w:rsidR="00E022E3" w:rsidRDefault="00E022E3" w:rsidP="009E54FE">
            <w:pPr>
              <w:pStyle w:val="NoSpacing"/>
              <w:rPr>
                <w:rFonts w:asciiTheme="minorHAnsi" w:hAnsiTheme="minorHAnsi" w:cstheme="minorHAnsi"/>
                <w:sz w:val="18"/>
                <w:szCs w:val="18"/>
              </w:rPr>
            </w:pPr>
          </w:p>
        </w:tc>
      </w:tr>
      <w:tr w:rsidR="00E022E3" w:rsidRPr="009119A5" w14:paraId="295784D9" w14:textId="77777777" w:rsidTr="009E54FE">
        <w:trPr>
          <w:trHeight w:val="288"/>
        </w:trPr>
        <w:tc>
          <w:tcPr>
            <w:tcW w:w="2790" w:type="dxa"/>
            <w:vAlign w:val="center"/>
          </w:tcPr>
          <w:p w14:paraId="47BA987A"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5C784B79" w14:textId="579436AD"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29 (87.4%)</w:t>
            </w:r>
          </w:p>
        </w:tc>
        <w:tc>
          <w:tcPr>
            <w:tcW w:w="1530" w:type="dxa"/>
            <w:gridSpan w:val="3"/>
            <w:vAlign w:val="center"/>
          </w:tcPr>
          <w:p w14:paraId="0DF441EB" w14:textId="7C342D5B"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 (14.7%)</w:t>
            </w:r>
          </w:p>
        </w:tc>
        <w:tc>
          <w:tcPr>
            <w:tcW w:w="2340" w:type="dxa"/>
            <w:vAlign w:val="center"/>
          </w:tcPr>
          <w:p w14:paraId="6E91897E" w14:textId="7BFBAAB0"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1.19 (0.35-3.59, p=0.76)</w:t>
            </w:r>
          </w:p>
        </w:tc>
        <w:tc>
          <w:tcPr>
            <w:tcW w:w="2250" w:type="dxa"/>
            <w:vAlign w:val="center"/>
          </w:tcPr>
          <w:p w14:paraId="60549EA8" w14:textId="4E8E7C3C"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18 (0.32-3.93, p=0.79</w:t>
            </w:r>
            <w:r>
              <w:rPr>
                <w:rFonts w:asciiTheme="minorHAnsi" w:hAnsiTheme="minorHAnsi" w:cstheme="minorHAnsi"/>
                <w:sz w:val="18"/>
                <w:szCs w:val="18"/>
              </w:rPr>
              <w:t>)</w:t>
            </w:r>
          </w:p>
        </w:tc>
      </w:tr>
      <w:tr w:rsidR="00E022E3" w:rsidRPr="009119A5" w14:paraId="5B9D0B73" w14:textId="77777777" w:rsidTr="009E54FE">
        <w:trPr>
          <w:trHeight w:val="288"/>
        </w:trPr>
        <w:tc>
          <w:tcPr>
            <w:tcW w:w="2790" w:type="dxa"/>
            <w:vAlign w:val="center"/>
          </w:tcPr>
          <w:p w14:paraId="1D904F4D" w14:textId="77777777" w:rsidR="00E022E3"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443F07FA" w14:textId="4D27BE53"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 (71.4%)</w:t>
            </w:r>
          </w:p>
        </w:tc>
        <w:tc>
          <w:tcPr>
            <w:tcW w:w="1530" w:type="dxa"/>
            <w:gridSpan w:val="3"/>
            <w:vAlign w:val="center"/>
          </w:tcPr>
          <w:p w14:paraId="4121D4D7" w14:textId="5B8EA45F"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 (28.6%)</w:t>
            </w:r>
          </w:p>
        </w:tc>
        <w:tc>
          <w:tcPr>
            <w:tcW w:w="2340" w:type="dxa"/>
            <w:vAlign w:val="center"/>
          </w:tcPr>
          <w:p w14:paraId="49EF1FD6" w14:textId="401BAE80"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2.76 (0.37-14.68, p=0.2</w:t>
            </w:r>
            <w:r w:rsidR="008E7C15">
              <w:rPr>
                <w:rFonts w:asciiTheme="minorHAnsi" w:hAnsiTheme="minorHAnsi" w:cstheme="minorHAnsi"/>
                <w:sz w:val="18"/>
                <w:szCs w:val="18"/>
              </w:rPr>
              <w:t>6</w:t>
            </w:r>
            <w:r>
              <w:rPr>
                <w:rFonts w:asciiTheme="minorHAnsi" w:hAnsiTheme="minorHAnsi" w:cstheme="minorHAnsi"/>
                <w:sz w:val="18"/>
                <w:szCs w:val="18"/>
              </w:rPr>
              <w:t>)</w:t>
            </w:r>
          </w:p>
        </w:tc>
        <w:tc>
          <w:tcPr>
            <w:tcW w:w="2250" w:type="dxa"/>
            <w:vAlign w:val="center"/>
          </w:tcPr>
          <w:p w14:paraId="75A52583" w14:textId="4B40DBEB"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34 (0.12-10.05, p=0.79</w:t>
            </w:r>
            <w:r>
              <w:rPr>
                <w:rFonts w:asciiTheme="minorHAnsi" w:hAnsiTheme="minorHAnsi" w:cstheme="minorHAnsi"/>
                <w:sz w:val="18"/>
                <w:szCs w:val="18"/>
              </w:rPr>
              <w:t>)</w:t>
            </w:r>
          </w:p>
        </w:tc>
      </w:tr>
      <w:tr w:rsidR="00E022E3" w:rsidRPr="009119A5" w14:paraId="7113A705" w14:textId="77777777" w:rsidTr="009E54FE">
        <w:trPr>
          <w:trHeight w:val="288"/>
        </w:trPr>
        <w:tc>
          <w:tcPr>
            <w:tcW w:w="2790" w:type="dxa"/>
            <w:vAlign w:val="center"/>
          </w:tcPr>
          <w:p w14:paraId="32CD142B"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008B83DA" w14:textId="2E27539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291 (86.9%)</w:t>
            </w:r>
          </w:p>
        </w:tc>
        <w:tc>
          <w:tcPr>
            <w:tcW w:w="1530" w:type="dxa"/>
            <w:gridSpan w:val="3"/>
            <w:vAlign w:val="center"/>
          </w:tcPr>
          <w:p w14:paraId="034DE797" w14:textId="79D43B8A"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44 (13.1%)</w:t>
            </w:r>
          </w:p>
        </w:tc>
        <w:tc>
          <w:tcPr>
            <w:tcW w:w="2340" w:type="dxa"/>
            <w:vAlign w:val="center"/>
          </w:tcPr>
          <w:p w14:paraId="5EBA3178" w14:textId="01024144"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1.04 (0.53-2.21, p=0.90)</w:t>
            </w:r>
          </w:p>
        </w:tc>
        <w:tc>
          <w:tcPr>
            <w:tcW w:w="2250" w:type="dxa"/>
            <w:vAlign w:val="center"/>
          </w:tcPr>
          <w:p w14:paraId="2808B4FA" w14:textId="1241AEAD"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38 (0.63-3.27, p=0.79</w:t>
            </w:r>
            <w:r>
              <w:rPr>
                <w:rFonts w:asciiTheme="minorHAnsi" w:hAnsiTheme="minorHAnsi" w:cstheme="minorHAnsi"/>
                <w:sz w:val="18"/>
                <w:szCs w:val="18"/>
              </w:rPr>
              <w:t>)</w:t>
            </w:r>
          </w:p>
        </w:tc>
      </w:tr>
      <w:tr w:rsidR="00E022E3" w:rsidRPr="009119A5" w14:paraId="6BBDC5FF" w14:textId="77777777" w:rsidTr="009E54FE">
        <w:trPr>
          <w:trHeight w:val="288"/>
        </w:trPr>
        <w:tc>
          <w:tcPr>
            <w:tcW w:w="5220" w:type="dxa"/>
            <w:gridSpan w:val="4"/>
            <w:tcBorders>
              <w:right w:val="nil"/>
            </w:tcBorders>
            <w:vAlign w:val="center"/>
          </w:tcPr>
          <w:p w14:paraId="19FB609B" w14:textId="6707482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Clinical Variables Alone</w:t>
            </w:r>
            <w:r w:rsidRPr="009119A5">
              <w:rPr>
                <w:rFonts w:asciiTheme="minorHAnsi" w:hAnsiTheme="minorHAnsi" w:cstheme="minorHAnsi"/>
                <w:sz w:val="18"/>
                <w:szCs w:val="18"/>
              </w:rPr>
              <w:t xml:space="preserve">, N = </w:t>
            </w:r>
            <w:r>
              <w:rPr>
                <w:rFonts w:asciiTheme="minorHAnsi" w:hAnsiTheme="minorHAnsi" w:cstheme="minorHAnsi"/>
                <w:sz w:val="18"/>
                <w:szCs w:val="18"/>
              </w:rPr>
              <w:t>452</w:t>
            </w:r>
          </w:p>
        </w:tc>
        <w:tc>
          <w:tcPr>
            <w:tcW w:w="5220" w:type="dxa"/>
            <w:gridSpan w:val="3"/>
            <w:tcBorders>
              <w:left w:val="nil"/>
            </w:tcBorders>
            <w:vAlign w:val="center"/>
          </w:tcPr>
          <w:p w14:paraId="5BB5E277" w14:textId="76A0C20B"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C-statistic = </w:t>
            </w:r>
            <w:r>
              <w:rPr>
                <w:rFonts w:asciiTheme="minorHAnsi" w:hAnsiTheme="minorHAnsi" w:cstheme="minorHAnsi"/>
                <w:sz w:val="18"/>
                <w:szCs w:val="18"/>
              </w:rPr>
              <w:t>0.705</w:t>
            </w:r>
          </w:p>
        </w:tc>
      </w:tr>
      <w:tr w:rsidR="00E022E3" w:rsidRPr="009119A5" w14:paraId="03625C0B" w14:textId="77777777" w:rsidTr="009E54FE">
        <w:trPr>
          <w:trHeight w:val="288"/>
        </w:trPr>
        <w:tc>
          <w:tcPr>
            <w:tcW w:w="2790" w:type="dxa"/>
            <w:vAlign w:val="center"/>
          </w:tcPr>
          <w:p w14:paraId="6A61AE83" w14:textId="77777777" w:rsidR="00E022E3" w:rsidRPr="009119A5" w:rsidRDefault="00E022E3" w:rsidP="009E54FE">
            <w:pPr>
              <w:pStyle w:val="NoSpacing"/>
              <w:jc w:val="right"/>
              <w:rPr>
                <w:rFonts w:asciiTheme="minorHAnsi" w:hAnsiTheme="minorHAnsi" w:cstheme="minorHAnsi"/>
                <w:sz w:val="18"/>
                <w:szCs w:val="18"/>
              </w:rPr>
            </w:pPr>
          </w:p>
        </w:tc>
        <w:tc>
          <w:tcPr>
            <w:tcW w:w="1530" w:type="dxa"/>
            <w:vAlign w:val="center"/>
          </w:tcPr>
          <w:p w14:paraId="4070C091"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40984082"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2BEFA028"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22DFEBB6"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1EB15029" w14:textId="77777777" w:rsidTr="009E54FE">
        <w:trPr>
          <w:trHeight w:val="288"/>
        </w:trPr>
        <w:tc>
          <w:tcPr>
            <w:tcW w:w="2790" w:type="dxa"/>
            <w:vAlign w:val="center"/>
          </w:tcPr>
          <w:p w14:paraId="6F71CAF0"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7B835B2F" w14:textId="7AB33000"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 xml:space="preserve"> 62.8 (6.7)</w:t>
            </w:r>
          </w:p>
        </w:tc>
        <w:tc>
          <w:tcPr>
            <w:tcW w:w="1530" w:type="dxa"/>
            <w:gridSpan w:val="3"/>
            <w:vAlign w:val="center"/>
          </w:tcPr>
          <w:p w14:paraId="794E1FF8" w14:textId="0F76C1A0"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65.7 (5.6)</w:t>
            </w:r>
          </w:p>
        </w:tc>
        <w:tc>
          <w:tcPr>
            <w:tcW w:w="2340" w:type="dxa"/>
            <w:vAlign w:val="center"/>
          </w:tcPr>
          <w:p w14:paraId="452D5DB6" w14:textId="716E8EAD" w:rsidR="00E022E3" w:rsidRPr="001A0AAD" w:rsidRDefault="00E022E3"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1.07 (1.03-1.12, p=0.001)</w:t>
            </w:r>
          </w:p>
        </w:tc>
        <w:tc>
          <w:tcPr>
            <w:tcW w:w="2250" w:type="dxa"/>
            <w:vAlign w:val="center"/>
          </w:tcPr>
          <w:p w14:paraId="7870E941" w14:textId="72AF4FDE" w:rsidR="00E022E3" w:rsidRPr="001A0AAD" w:rsidRDefault="00E022E3"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1.09 (1.03-1.15, p=0.002)</w:t>
            </w:r>
          </w:p>
        </w:tc>
      </w:tr>
      <w:tr w:rsidR="00E022E3" w:rsidRPr="009119A5" w14:paraId="75E887E5" w14:textId="77777777" w:rsidTr="009E54FE">
        <w:trPr>
          <w:trHeight w:val="288"/>
        </w:trPr>
        <w:tc>
          <w:tcPr>
            <w:tcW w:w="2790" w:type="dxa"/>
            <w:vAlign w:val="center"/>
          </w:tcPr>
          <w:p w14:paraId="135CFDF4"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718730EF" w14:textId="4C37658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29.7 (4.8)</w:t>
            </w:r>
          </w:p>
        </w:tc>
        <w:tc>
          <w:tcPr>
            <w:tcW w:w="1530" w:type="dxa"/>
            <w:gridSpan w:val="3"/>
            <w:vAlign w:val="center"/>
          </w:tcPr>
          <w:p w14:paraId="6A6D42F9" w14:textId="715E816F" w:rsidR="00E022E3" w:rsidRP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29.7</w:t>
            </w:r>
            <w:r>
              <w:rPr>
                <w:rFonts w:asciiTheme="minorHAnsi" w:hAnsiTheme="minorHAnsi" w:cstheme="minorHAnsi"/>
                <w:b/>
                <w:sz w:val="18"/>
                <w:szCs w:val="18"/>
              </w:rPr>
              <w:t xml:space="preserve"> </w:t>
            </w:r>
            <w:r>
              <w:rPr>
                <w:rFonts w:asciiTheme="minorHAnsi" w:hAnsiTheme="minorHAnsi" w:cstheme="minorHAnsi"/>
                <w:sz w:val="18"/>
                <w:szCs w:val="18"/>
              </w:rPr>
              <w:t>(4.5)</w:t>
            </w:r>
          </w:p>
        </w:tc>
        <w:tc>
          <w:tcPr>
            <w:tcW w:w="2340" w:type="dxa"/>
            <w:vAlign w:val="center"/>
          </w:tcPr>
          <w:p w14:paraId="7CAF37ED" w14:textId="7CD6D053"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1.00 (0.95-1.06, p=0.94)</w:t>
            </w:r>
          </w:p>
        </w:tc>
        <w:tc>
          <w:tcPr>
            <w:tcW w:w="2250" w:type="dxa"/>
            <w:vAlign w:val="center"/>
          </w:tcPr>
          <w:p w14:paraId="69016765" w14:textId="0B2944D6"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0.99 (0.93-1.05, p=0.73)</w:t>
            </w:r>
          </w:p>
        </w:tc>
      </w:tr>
      <w:tr w:rsidR="00E022E3" w:rsidRPr="009119A5" w14:paraId="5F272FF4" w14:textId="77777777" w:rsidTr="009E54FE">
        <w:trPr>
          <w:trHeight w:val="288"/>
        </w:trPr>
        <w:tc>
          <w:tcPr>
            <w:tcW w:w="2790" w:type="dxa"/>
            <w:vAlign w:val="center"/>
          </w:tcPr>
          <w:p w14:paraId="74B26635"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7B07EF91" w14:textId="56FBAF0A"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8.7 (9.4)</w:t>
            </w:r>
          </w:p>
        </w:tc>
        <w:tc>
          <w:tcPr>
            <w:tcW w:w="1530" w:type="dxa"/>
            <w:gridSpan w:val="3"/>
            <w:vAlign w:val="center"/>
          </w:tcPr>
          <w:p w14:paraId="7A7E98AA" w14:textId="68499515"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8.9 (7.3)</w:t>
            </w:r>
          </w:p>
        </w:tc>
        <w:tc>
          <w:tcPr>
            <w:tcW w:w="2340" w:type="dxa"/>
            <w:vAlign w:val="center"/>
          </w:tcPr>
          <w:p w14:paraId="65B3AFDC" w14:textId="5BB30BBC"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1.00 (0.97-1.03, p=0.</w:t>
            </w:r>
            <w:r w:rsidR="008E7C15">
              <w:rPr>
                <w:rFonts w:asciiTheme="minorHAnsi" w:hAnsiTheme="minorHAnsi" w:cstheme="minorHAnsi"/>
                <w:sz w:val="18"/>
                <w:szCs w:val="18"/>
              </w:rPr>
              <w:t>90</w:t>
            </w:r>
            <w:r>
              <w:rPr>
                <w:rFonts w:asciiTheme="minorHAnsi" w:hAnsiTheme="minorHAnsi" w:cstheme="minorHAnsi"/>
                <w:sz w:val="18"/>
                <w:szCs w:val="18"/>
              </w:rPr>
              <w:t>)</w:t>
            </w:r>
          </w:p>
        </w:tc>
        <w:tc>
          <w:tcPr>
            <w:tcW w:w="2250" w:type="dxa"/>
            <w:vAlign w:val="center"/>
          </w:tcPr>
          <w:p w14:paraId="396E7FBC" w14:textId="206DE241" w:rsidR="00E022E3" w:rsidRPr="00E022E3" w:rsidRDefault="00E022E3" w:rsidP="009E54FE">
            <w:pPr>
              <w:pStyle w:val="NoSpacing"/>
              <w:rPr>
                <w:rFonts w:asciiTheme="minorHAnsi" w:hAnsiTheme="minorHAnsi" w:cstheme="minorHAnsi"/>
                <w:i/>
                <w:sz w:val="18"/>
                <w:szCs w:val="18"/>
              </w:rPr>
            </w:pPr>
            <w:r>
              <w:rPr>
                <w:rFonts w:asciiTheme="minorHAnsi" w:hAnsiTheme="minorHAnsi" w:cstheme="minorHAnsi"/>
                <w:sz w:val="18"/>
                <w:szCs w:val="18"/>
              </w:rPr>
              <w:t>1.00 (0.97-1.03, p=</w:t>
            </w:r>
            <w:r w:rsidRPr="00E022E3">
              <w:rPr>
                <w:rFonts w:asciiTheme="minorHAnsi" w:hAnsiTheme="minorHAnsi" w:cstheme="minorHAnsi"/>
                <w:sz w:val="18"/>
                <w:szCs w:val="18"/>
              </w:rPr>
              <w:t>0.</w:t>
            </w:r>
            <w:r w:rsidR="008E7C15">
              <w:rPr>
                <w:rFonts w:asciiTheme="minorHAnsi" w:hAnsiTheme="minorHAnsi" w:cstheme="minorHAnsi"/>
                <w:sz w:val="18"/>
                <w:szCs w:val="18"/>
              </w:rPr>
              <w:t>80</w:t>
            </w:r>
            <w:r w:rsidRPr="00E022E3">
              <w:rPr>
                <w:rFonts w:asciiTheme="minorHAnsi" w:hAnsiTheme="minorHAnsi" w:cstheme="minorHAnsi"/>
                <w:sz w:val="18"/>
                <w:szCs w:val="18"/>
              </w:rPr>
              <w:t>)</w:t>
            </w:r>
          </w:p>
        </w:tc>
      </w:tr>
      <w:tr w:rsidR="00E022E3" w:rsidRPr="009119A5" w14:paraId="4BA1E1B9" w14:textId="77777777" w:rsidTr="009E54FE">
        <w:trPr>
          <w:trHeight w:val="288"/>
        </w:trPr>
        <w:tc>
          <w:tcPr>
            <w:tcW w:w="2790" w:type="dxa"/>
            <w:vAlign w:val="center"/>
          </w:tcPr>
          <w:p w14:paraId="7D67899D"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08175469" w14:textId="3D3B461F"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92.0 (13.1)</w:t>
            </w:r>
          </w:p>
        </w:tc>
        <w:tc>
          <w:tcPr>
            <w:tcW w:w="1530" w:type="dxa"/>
            <w:gridSpan w:val="3"/>
            <w:vAlign w:val="center"/>
          </w:tcPr>
          <w:p w14:paraId="020DE3BD" w14:textId="0744F3F0"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86.3 (17.2)</w:t>
            </w:r>
          </w:p>
        </w:tc>
        <w:tc>
          <w:tcPr>
            <w:tcW w:w="2340" w:type="dxa"/>
            <w:vAlign w:val="center"/>
          </w:tcPr>
          <w:p w14:paraId="69E687D9" w14:textId="7FC37D92" w:rsidR="00E022E3" w:rsidRPr="001A0AAD" w:rsidRDefault="00E022E3"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0.98 (0.96-0.99, p=0.004)</w:t>
            </w:r>
          </w:p>
        </w:tc>
        <w:tc>
          <w:tcPr>
            <w:tcW w:w="2250" w:type="dxa"/>
            <w:vAlign w:val="center"/>
          </w:tcPr>
          <w:p w14:paraId="4BF686E5" w14:textId="328D9EDF" w:rsidR="00E022E3" w:rsidRPr="001A0AAD" w:rsidRDefault="00E022E3"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0.98 (0.96-1.00, p=0.02)</w:t>
            </w:r>
          </w:p>
        </w:tc>
      </w:tr>
      <w:tr w:rsidR="00E022E3" w:rsidRPr="009119A5" w14:paraId="7586E2F2" w14:textId="77777777" w:rsidTr="009E54FE">
        <w:trPr>
          <w:trHeight w:val="288"/>
        </w:trPr>
        <w:tc>
          <w:tcPr>
            <w:tcW w:w="2790" w:type="dxa"/>
            <w:vAlign w:val="center"/>
          </w:tcPr>
          <w:p w14:paraId="1C5D4A94"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4202D779" w14:textId="2879F33F"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68.7 (28.7)</w:t>
            </w:r>
          </w:p>
        </w:tc>
        <w:tc>
          <w:tcPr>
            <w:tcW w:w="1530" w:type="dxa"/>
            <w:gridSpan w:val="3"/>
            <w:vAlign w:val="center"/>
          </w:tcPr>
          <w:p w14:paraId="02111048" w14:textId="3F84237C"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59.0 (31.5)</w:t>
            </w:r>
          </w:p>
        </w:tc>
        <w:tc>
          <w:tcPr>
            <w:tcW w:w="2340" w:type="dxa"/>
            <w:vAlign w:val="center"/>
          </w:tcPr>
          <w:p w14:paraId="63AA4D08" w14:textId="226CBF7B" w:rsidR="00E022E3" w:rsidRPr="00E022E3" w:rsidRDefault="00E022E3" w:rsidP="009E54FE">
            <w:pPr>
              <w:pStyle w:val="NoSpacing"/>
              <w:rPr>
                <w:rFonts w:asciiTheme="minorHAnsi" w:hAnsiTheme="minorHAnsi" w:cstheme="minorHAnsi"/>
                <w:sz w:val="18"/>
                <w:szCs w:val="18"/>
                <w:highlight w:val="yellow"/>
              </w:rPr>
            </w:pPr>
            <w:r w:rsidRPr="00E022E3">
              <w:rPr>
                <w:rFonts w:asciiTheme="minorHAnsi" w:hAnsiTheme="minorHAnsi" w:cstheme="minorHAnsi"/>
                <w:sz w:val="18"/>
                <w:szCs w:val="18"/>
                <w:highlight w:val="yellow"/>
              </w:rPr>
              <w:t>0.99 (0.98-1.00, p=0.0</w:t>
            </w:r>
            <w:r w:rsidR="008E7C15">
              <w:rPr>
                <w:rFonts w:asciiTheme="minorHAnsi" w:hAnsiTheme="minorHAnsi" w:cstheme="minorHAnsi"/>
                <w:sz w:val="18"/>
                <w:szCs w:val="18"/>
                <w:highlight w:val="yellow"/>
              </w:rPr>
              <w:t>2</w:t>
            </w:r>
            <w:r w:rsidRPr="00E022E3">
              <w:rPr>
                <w:rFonts w:asciiTheme="minorHAnsi" w:hAnsiTheme="minorHAnsi" w:cstheme="minorHAnsi"/>
                <w:sz w:val="18"/>
                <w:szCs w:val="18"/>
                <w:highlight w:val="yellow"/>
              </w:rPr>
              <w:t>)</w:t>
            </w:r>
          </w:p>
        </w:tc>
        <w:tc>
          <w:tcPr>
            <w:tcW w:w="2250" w:type="dxa"/>
            <w:vAlign w:val="center"/>
          </w:tcPr>
          <w:p w14:paraId="175A1290" w14:textId="7E14A0E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1.00 (0.99-1.01, p=0.37)</w:t>
            </w:r>
          </w:p>
        </w:tc>
      </w:tr>
      <w:tr w:rsidR="00E022E3" w:rsidRPr="009119A5" w14:paraId="46945FB6" w14:textId="77777777" w:rsidTr="009E54FE">
        <w:trPr>
          <w:trHeight w:val="288"/>
        </w:trPr>
        <w:tc>
          <w:tcPr>
            <w:tcW w:w="2790" w:type="dxa"/>
            <w:vAlign w:val="center"/>
          </w:tcPr>
          <w:p w14:paraId="52BD4670"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42441F83" w14:textId="45C46B36"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144 (83.7%)</w:t>
            </w:r>
          </w:p>
        </w:tc>
        <w:tc>
          <w:tcPr>
            <w:tcW w:w="1530" w:type="dxa"/>
            <w:gridSpan w:val="3"/>
            <w:vAlign w:val="center"/>
          </w:tcPr>
          <w:p w14:paraId="4A79C2D9" w14:textId="0190932B"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28 (16.3%)</w:t>
            </w:r>
          </w:p>
        </w:tc>
        <w:tc>
          <w:tcPr>
            <w:tcW w:w="2340" w:type="dxa"/>
            <w:vAlign w:val="center"/>
          </w:tcPr>
          <w:p w14:paraId="3C34EC01" w14:textId="40FA9365"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1.02 (0.53-2.03, p=0.95)</w:t>
            </w:r>
          </w:p>
        </w:tc>
        <w:tc>
          <w:tcPr>
            <w:tcW w:w="2250" w:type="dxa"/>
            <w:vAlign w:val="center"/>
          </w:tcPr>
          <w:p w14:paraId="554EAECA" w14:textId="786CF010"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0.97 (0.49-2.00, p=0.94)</w:t>
            </w:r>
          </w:p>
        </w:tc>
      </w:tr>
      <w:tr w:rsidR="00E022E3" w:rsidRPr="009119A5" w14:paraId="1783C070" w14:textId="77777777" w:rsidTr="009E54FE">
        <w:trPr>
          <w:trHeight w:val="288"/>
        </w:trPr>
        <w:tc>
          <w:tcPr>
            <w:tcW w:w="2790" w:type="dxa"/>
            <w:vAlign w:val="center"/>
          </w:tcPr>
          <w:p w14:paraId="4528AB46"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443F7452" w14:textId="3275804A"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82 (93.2%)</w:t>
            </w:r>
          </w:p>
        </w:tc>
        <w:tc>
          <w:tcPr>
            <w:tcW w:w="1530" w:type="dxa"/>
            <w:gridSpan w:val="3"/>
            <w:vAlign w:val="center"/>
          </w:tcPr>
          <w:p w14:paraId="515E4A1A" w14:textId="0BB7A41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6 (6.8%)</w:t>
            </w:r>
          </w:p>
        </w:tc>
        <w:tc>
          <w:tcPr>
            <w:tcW w:w="2340" w:type="dxa"/>
            <w:vAlign w:val="center"/>
          </w:tcPr>
          <w:p w14:paraId="294D98E5" w14:textId="728863EC" w:rsidR="00E022E3" w:rsidRPr="00260272" w:rsidRDefault="00E022E3" w:rsidP="009E54FE">
            <w:pPr>
              <w:pStyle w:val="NoSpacing"/>
              <w:rPr>
                <w:rFonts w:asciiTheme="minorHAnsi" w:hAnsiTheme="minorHAnsi" w:cstheme="minorHAnsi"/>
                <w:sz w:val="18"/>
                <w:szCs w:val="18"/>
              </w:rPr>
            </w:pPr>
            <w:r w:rsidRPr="00260272">
              <w:rPr>
                <w:rFonts w:asciiTheme="minorHAnsi" w:hAnsiTheme="minorHAnsi" w:cstheme="minorHAnsi"/>
                <w:sz w:val="18"/>
                <w:szCs w:val="18"/>
              </w:rPr>
              <w:t>0.38 (0.13-0.98, p=0.0</w:t>
            </w:r>
            <w:r w:rsidR="008E7C15">
              <w:rPr>
                <w:rFonts w:asciiTheme="minorHAnsi" w:hAnsiTheme="minorHAnsi" w:cstheme="minorHAnsi"/>
                <w:sz w:val="18"/>
                <w:szCs w:val="18"/>
              </w:rPr>
              <w:t>6</w:t>
            </w:r>
            <w:r w:rsidRPr="00260272">
              <w:rPr>
                <w:rFonts w:asciiTheme="minorHAnsi" w:hAnsiTheme="minorHAnsi" w:cstheme="minorHAnsi"/>
                <w:sz w:val="18"/>
                <w:szCs w:val="18"/>
              </w:rPr>
              <w:t>)</w:t>
            </w:r>
          </w:p>
        </w:tc>
        <w:tc>
          <w:tcPr>
            <w:tcW w:w="2250" w:type="dxa"/>
            <w:vAlign w:val="center"/>
          </w:tcPr>
          <w:p w14:paraId="20EF4DAE" w14:textId="14EAE65D" w:rsidR="00E022E3" w:rsidRPr="009119A5" w:rsidRDefault="00E022E3" w:rsidP="009E54FE">
            <w:pPr>
              <w:pStyle w:val="NoSpacing"/>
              <w:rPr>
                <w:rFonts w:asciiTheme="minorHAnsi" w:hAnsiTheme="minorHAnsi" w:cstheme="minorHAnsi"/>
                <w:sz w:val="18"/>
                <w:szCs w:val="18"/>
              </w:rPr>
            </w:pPr>
            <w:r w:rsidRPr="00E022E3">
              <w:rPr>
                <w:rFonts w:asciiTheme="minorHAnsi" w:hAnsiTheme="minorHAnsi" w:cstheme="minorHAnsi"/>
                <w:sz w:val="18"/>
                <w:szCs w:val="18"/>
                <w:highlight w:val="yellow"/>
              </w:rPr>
              <w:t>0.28 (0.09-0.77, p=0.0</w:t>
            </w:r>
            <w:r w:rsidR="008E7C15">
              <w:rPr>
                <w:rFonts w:asciiTheme="minorHAnsi" w:hAnsiTheme="minorHAnsi" w:cstheme="minorHAnsi"/>
                <w:sz w:val="18"/>
                <w:szCs w:val="18"/>
                <w:highlight w:val="yellow"/>
              </w:rPr>
              <w:t>2</w:t>
            </w:r>
            <w:r w:rsidRPr="00E022E3">
              <w:rPr>
                <w:rFonts w:asciiTheme="minorHAnsi" w:hAnsiTheme="minorHAnsi" w:cstheme="minorHAnsi"/>
                <w:sz w:val="18"/>
                <w:szCs w:val="18"/>
                <w:highlight w:val="yellow"/>
              </w:rPr>
              <w:t>)</w:t>
            </w:r>
          </w:p>
        </w:tc>
      </w:tr>
      <w:tr w:rsidR="00E022E3" w:rsidRPr="009119A5" w14:paraId="28AF41FB" w14:textId="77777777" w:rsidTr="009E54FE">
        <w:trPr>
          <w:trHeight w:val="288"/>
        </w:trPr>
        <w:tc>
          <w:tcPr>
            <w:tcW w:w="2790" w:type="dxa"/>
            <w:vAlign w:val="center"/>
          </w:tcPr>
          <w:p w14:paraId="347A5351"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53DB20F8" w14:textId="19E7722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38 (90.5%)</w:t>
            </w:r>
          </w:p>
        </w:tc>
        <w:tc>
          <w:tcPr>
            <w:tcW w:w="1530" w:type="dxa"/>
            <w:gridSpan w:val="3"/>
            <w:vAlign w:val="center"/>
          </w:tcPr>
          <w:p w14:paraId="188C9C11" w14:textId="3CF6BD09"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4 (9.5%)</w:t>
            </w:r>
          </w:p>
        </w:tc>
        <w:tc>
          <w:tcPr>
            <w:tcW w:w="2340" w:type="dxa"/>
            <w:vAlign w:val="center"/>
          </w:tcPr>
          <w:p w14:paraId="654C0713" w14:textId="74B962E3"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0.55 (0.15-1.63, p=0.3</w:t>
            </w:r>
            <w:r w:rsidR="008E7C15">
              <w:rPr>
                <w:rFonts w:asciiTheme="minorHAnsi" w:hAnsiTheme="minorHAnsi" w:cstheme="minorHAnsi"/>
                <w:sz w:val="18"/>
                <w:szCs w:val="18"/>
              </w:rPr>
              <w:t>2</w:t>
            </w:r>
            <w:r>
              <w:rPr>
                <w:rFonts w:asciiTheme="minorHAnsi" w:hAnsiTheme="minorHAnsi" w:cstheme="minorHAnsi"/>
                <w:sz w:val="18"/>
                <w:szCs w:val="18"/>
              </w:rPr>
              <w:t>)</w:t>
            </w:r>
          </w:p>
        </w:tc>
        <w:tc>
          <w:tcPr>
            <w:tcW w:w="2250" w:type="dxa"/>
            <w:vAlign w:val="center"/>
          </w:tcPr>
          <w:p w14:paraId="30B84802" w14:textId="393DBACB"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0.37 (0.10-1.19, p=0.1</w:t>
            </w:r>
            <w:r w:rsidR="008E7C15">
              <w:rPr>
                <w:rFonts w:asciiTheme="minorHAnsi" w:hAnsiTheme="minorHAnsi" w:cstheme="minorHAnsi"/>
                <w:sz w:val="18"/>
                <w:szCs w:val="18"/>
              </w:rPr>
              <w:t>2</w:t>
            </w:r>
            <w:r>
              <w:rPr>
                <w:rFonts w:asciiTheme="minorHAnsi" w:hAnsiTheme="minorHAnsi" w:cstheme="minorHAnsi"/>
                <w:sz w:val="18"/>
                <w:szCs w:val="18"/>
              </w:rPr>
              <w:t>)</w:t>
            </w:r>
          </w:p>
        </w:tc>
      </w:tr>
      <w:tr w:rsidR="00E022E3" w:rsidRPr="009119A5" w14:paraId="2C814A54" w14:textId="77777777" w:rsidTr="009E54FE">
        <w:trPr>
          <w:trHeight w:val="288"/>
        </w:trPr>
        <w:tc>
          <w:tcPr>
            <w:tcW w:w="2790" w:type="dxa"/>
            <w:vAlign w:val="center"/>
          </w:tcPr>
          <w:p w14:paraId="6682F813" w14:textId="77777777" w:rsidR="00E022E3"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4973CC17" w14:textId="3228B146"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53 (85.5%)</w:t>
            </w:r>
          </w:p>
        </w:tc>
        <w:tc>
          <w:tcPr>
            <w:tcW w:w="1530" w:type="dxa"/>
            <w:gridSpan w:val="3"/>
            <w:vAlign w:val="center"/>
          </w:tcPr>
          <w:p w14:paraId="7A696A5D" w14:textId="7B798E74"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9 (14.5%)</w:t>
            </w:r>
          </w:p>
        </w:tc>
        <w:tc>
          <w:tcPr>
            <w:tcW w:w="2340" w:type="dxa"/>
            <w:vAlign w:val="center"/>
          </w:tcPr>
          <w:p w14:paraId="39227416" w14:textId="75E5C7A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0.89 (0.35-2.13, p=0.</w:t>
            </w:r>
            <w:r w:rsidR="008E7C15">
              <w:rPr>
                <w:rFonts w:asciiTheme="minorHAnsi" w:hAnsiTheme="minorHAnsi" w:cstheme="minorHAnsi"/>
                <w:sz w:val="18"/>
                <w:szCs w:val="18"/>
              </w:rPr>
              <w:t>80</w:t>
            </w:r>
            <w:r>
              <w:rPr>
                <w:rFonts w:asciiTheme="minorHAnsi" w:hAnsiTheme="minorHAnsi" w:cstheme="minorHAnsi"/>
                <w:sz w:val="18"/>
                <w:szCs w:val="18"/>
              </w:rPr>
              <w:t>)</w:t>
            </w:r>
          </w:p>
        </w:tc>
        <w:tc>
          <w:tcPr>
            <w:tcW w:w="2250" w:type="dxa"/>
            <w:vAlign w:val="center"/>
          </w:tcPr>
          <w:p w14:paraId="79CC4508" w14:textId="7E79A12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0.65 (0.24-1.66, p=0.3</w:t>
            </w:r>
            <w:r w:rsidR="008E7C15">
              <w:rPr>
                <w:rFonts w:asciiTheme="minorHAnsi" w:hAnsiTheme="minorHAnsi" w:cstheme="minorHAnsi"/>
                <w:sz w:val="18"/>
                <w:szCs w:val="18"/>
              </w:rPr>
              <w:t>8</w:t>
            </w:r>
            <w:r>
              <w:rPr>
                <w:rFonts w:asciiTheme="minorHAnsi" w:hAnsiTheme="minorHAnsi" w:cstheme="minorHAnsi"/>
                <w:sz w:val="18"/>
                <w:szCs w:val="18"/>
              </w:rPr>
              <w:t>)</w:t>
            </w:r>
          </w:p>
        </w:tc>
      </w:tr>
      <w:tr w:rsidR="00E022E3" w:rsidRPr="009119A5" w14:paraId="134844E9" w14:textId="77777777" w:rsidTr="009E54FE">
        <w:trPr>
          <w:trHeight w:val="288"/>
        </w:trPr>
        <w:tc>
          <w:tcPr>
            <w:tcW w:w="5130" w:type="dxa"/>
            <w:gridSpan w:val="3"/>
            <w:tcBorders>
              <w:right w:val="nil"/>
            </w:tcBorders>
            <w:vAlign w:val="center"/>
          </w:tcPr>
          <w:p w14:paraId="770D4D42" w14:textId="154BD22D"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MRI + Clinical Variables</w:t>
            </w:r>
            <w:r w:rsidRPr="009119A5">
              <w:rPr>
                <w:rFonts w:asciiTheme="minorHAnsi" w:hAnsiTheme="minorHAnsi" w:cstheme="minorHAnsi"/>
                <w:sz w:val="18"/>
                <w:szCs w:val="18"/>
              </w:rPr>
              <w:t>, N =</w:t>
            </w:r>
            <w:r>
              <w:rPr>
                <w:rFonts w:asciiTheme="minorHAnsi" w:hAnsiTheme="minorHAnsi" w:cstheme="minorHAnsi"/>
                <w:sz w:val="18"/>
                <w:szCs w:val="18"/>
              </w:rPr>
              <w:t xml:space="preserve"> 403</w:t>
            </w:r>
          </w:p>
        </w:tc>
        <w:tc>
          <w:tcPr>
            <w:tcW w:w="5310" w:type="dxa"/>
            <w:gridSpan w:val="4"/>
            <w:tcBorders>
              <w:left w:val="nil"/>
            </w:tcBorders>
            <w:vAlign w:val="center"/>
          </w:tcPr>
          <w:p w14:paraId="5459C786" w14:textId="5D81D90E"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Pr>
                <w:rFonts w:asciiTheme="minorHAnsi" w:hAnsiTheme="minorHAnsi" w:cstheme="minorHAnsi"/>
                <w:sz w:val="18"/>
                <w:szCs w:val="18"/>
              </w:rPr>
              <w:t xml:space="preserve"> 0.7</w:t>
            </w:r>
            <w:r w:rsidR="00D55F4A">
              <w:rPr>
                <w:rFonts w:asciiTheme="minorHAnsi" w:hAnsiTheme="minorHAnsi" w:cstheme="minorHAnsi"/>
                <w:sz w:val="18"/>
                <w:szCs w:val="18"/>
              </w:rPr>
              <w:t>66</w:t>
            </w:r>
            <w:r w:rsidRPr="009119A5">
              <w:rPr>
                <w:rFonts w:asciiTheme="minorHAnsi" w:hAnsiTheme="minorHAnsi" w:cstheme="minorHAnsi"/>
                <w:sz w:val="18"/>
                <w:szCs w:val="18"/>
              </w:rPr>
              <w:t xml:space="preserve"> </w:t>
            </w:r>
          </w:p>
        </w:tc>
      </w:tr>
      <w:tr w:rsidR="00E022E3" w:rsidRPr="009119A5" w14:paraId="2F07CDB6" w14:textId="77777777" w:rsidTr="009E54FE">
        <w:trPr>
          <w:trHeight w:val="288"/>
        </w:trPr>
        <w:tc>
          <w:tcPr>
            <w:tcW w:w="2790" w:type="dxa"/>
            <w:vAlign w:val="center"/>
          </w:tcPr>
          <w:p w14:paraId="56886154" w14:textId="77777777" w:rsidR="00E022E3" w:rsidRPr="009119A5" w:rsidRDefault="00E022E3" w:rsidP="009E54FE">
            <w:pPr>
              <w:pStyle w:val="NoSpacing"/>
              <w:rPr>
                <w:rFonts w:asciiTheme="minorHAnsi" w:hAnsiTheme="minorHAnsi" w:cstheme="minorHAnsi"/>
                <w:sz w:val="18"/>
                <w:szCs w:val="18"/>
              </w:rPr>
            </w:pPr>
          </w:p>
        </w:tc>
        <w:tc>
          <w:tcPr>
            <w:tcW w:w="1530" w:type="dxa"/>
            <w:vAlign w:val="center"/>
          </w:tcPr>
          <w:p w14:paraId="490AC6AE"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3D74E205"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4590" w:type="dxa"/>
            <w:gridSpan w:val="2"/>
            <w:vAlign w:val="center"/>
          </w:tcPr>
          <w:p w14:paraId="1B949AEA" w14:textId="77777777"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31682A1C" w14:textId="77777777" w:rsidTr="009E54FE">
        <w:trPr>
          <w:trHeight w:val="288"/>
        </w:trPr>
        <w:tc>
          <w:tcPr>
            <w:tcW w:w="2790" w:type="dxa"/>
            <w:vAlign w:val="center"/>
          </w:tcPr>
          <w:p w14:paraId="596B9CA0" w14:textId="78320F31"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10649A58" w14:textId="431A6B30"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 xml:space="preserve"> 62.8 (6.7)</w:t>
            </w:r>
          </w:p>
        </w:tc>
        <w:tc>
          <w:tcPr>
            <w:tcW w:w="1530" w:type="dxa"/>
            <w:gridSpan w:val="3"/>
            <w:vAlign w:val="center"/>
          </w:tcPr>
          <w:p w14:paraId="7E81CAE0" w14:textId="678EEC1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65.7 (5.6)</w:t>
            </w:r>
          </w:p>
        </w:tc>
        <w:tc>
          <w:tcPr>
            <w:tcW w:w="4590" w:type="dxa"/>
            <w:gridSpan w:val="2"/>
            <w:vAlign w:val="center"/>
          </w:tcPr>
          <w:p w14:paraId="419FFAE0" w14:textId="3FC161DC" w:rsidR="00E022E3" w:rsidRPr="009119A5" w:rsidRDefault="00E022E3" w:rsidP="00E022E3">
            <w:pPr>
              <w:pStyle w:val="NoSpacing"/>
              <w:jc w:val="right"/>
              <w:rPr>
                <w:rFonts w:asciiTheme="minorHAnsi" w:hAnsiTheme="minorHAnsi" w:cstheme="minorHAnsi"/>
                <w:sz w:val="18"/>
                <w:szCs w:val="18"/>
              </w:rPr>
            </w:pPr>
            <w:r w:rsidRPr="00E022E3">
              <w:rPr>
                <w:rFonts w:asciiTheme="minorHAnsi" w:hAnsiTheme="minorHAnsi" w:cstheme="minorHAnsi"/>
                <w:sz w:val="18"/>
                <w:szCs w:val="18"/>
                <w:highlight w:val="yellow"/>
              </w:rPr>
              <w:t>1.08 (1.02-1.1</w:t>
            </w:r>
            <w:r w:rsidR="00D55F4A">
              <w:rPr>
                <w:rFonts w:asciiTheme="minorHAnsi" w:hAnsiTheme="minorHAnsi" w:cstheme="minorHAnsi"/>
                <w:sz w:val="18"/>
                <w:szCs w:val="18"/>
                <w:highlight w:val="yellow"/>
              </w:rPr>
              <w:t>5</w:t>
            </w:r>
            <w:r w:rsidRPr="00E022E3">
              <w:rPr>
                <w:rFonts w:asciiTheme="minorHAnsi" w:hAnsiTheme="minorHAnsi" w:cstheme="minorHAnsi"/>
                <w:sz w:val="18"/>
                <w:szCs w:val="18"/>
                <w:highlight w:val="yellow"/>
              </w:rPr>
              <w:t>, p=0.0</w:t>
            </w:r>
            <w:r w:rsidR="008E7C15">
              <w:rPr>
                <w:rFonts w:asciiTheme="minorHAnsi" w:hAnsiTheme="minorHAnsi" w:cstheme="minorHAnsi"/>
                <w:sz w:val="18"/>
                <w:szCs w:val="18"/>
                <w:highlight w:val="yellow"/>
              </w:rPr>
              <w:t>2</w:t>
            </w:r>
            <w:r w:rsidRPr="00E022E3">
              <w:rPr>
                <w:rFonts w:asciiTheme="minorHAnsi" w:hAnsiTheme="minorHAnsi" w:cstheme="minorHAnsi"/>
                <w:sz w:val="18"/>
                <w:szCs w:val="18"/>
                <w:highlight w:val="yellow"/>
              </w:rPr>
              <w:t>)</w:t>
            </w:r>
          </w:p>
        </w:tc>
      </w:tr>
      <w:tr w:rsidR="00E022E3" w:rsidRPr="009119A5" w14:paraId="26EE94FE" w14:textId="77777777" w:rsidTr="009E54FE">
        <w:trPr>
          <w:trHeight w:val="288"/>
        </w:trPr>
        <w:tc>
          <w:tcPr>
            <w:tcW w:w="2790" w:type="dxa"/>
            <w:vAlign w:val="center"/>
          </w:tcPr>
          <w:p w14:paraId="042439A2" w14:textId="7A5DA87E"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7CC3BDEF" w14:textId="7103745C"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29.7 (4.8)</w:t>
            </w:r>
          </w:p>
        </w:tc>
        <w:tc>
          <w:tcPr>
            <w:tcW w:w="1530" w:type="dxa"/>
            <w:gridSpan w:val="3"/>
            <w:vAlign w:val="center"/>
          </w:tcPr>
          <w:p w14:paraId="7C5A81F7" w14:textId="2C93D6FF"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29.7</w:t>
            </w:r>
            <w:r>
              <w:rPr>
                <w:rFonts w:asciiTheme="minorHAnsi" w:hAnsiTheme="minorHAnsi" w:cstheme="minorHAnsi"/>
                <w:b/>
                <w:sz w:val="18"/>
                <w:szCs w:val="18"/>
              </w:rPr>
              <w:t xml:space="preserve"> </w:t>
            </w:r>
            <w:r>
              <w:rPr>
                <w:rFonts w:asciiTheme="minorHAnsi" w:hAnsiTheme="minorHAnsi" w:cstheme="minorHAnsi"/>
                <w:sz w:val="18"/>
                <w:szCs w:val="18"/>
              </w:rPr>
              <w:t>(4.5)</w:t>
            </w:r>
          </w:p>
        </w:tc>
        <w:tc>
          <w:tcPr>
            <w:tcW w:w="4590" w:type="dxa"/>
            <w:gridSpan w:val="2"/>
            <w:vAlign w:val="center"/>
          </w:tcPr>
          <w:p w14:paraId="1C593FBA" w14:textId="0A4DC2C0"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0.97 (0.90-1.04, p=0.4</w:t>
            </w:r>
            <w:r w:rsidR="008E7C15">
              <w:rPr>
                <w:rFonts w:asciiTheme="minorHAnsi" w:hAnsiTheme="minorHAnsi" w:cstheme="minorHAnsi"/>
                <w:sz w:val="18"/>
                <w:szCs w:val="18"/>
              </w:rPr>
              <w:t>4</w:t>
            </w:r>
            <w:r>
              <w:rPr>
                <w:rFonts w:asciiTheme="minorHAnsi" w:hAnsiTheme="minorHAnsi" w:cstheme="minorHAnsi"/>
                <w:sz w:val="18"/>
                <w:szCs w:val="18"/>
              </w:rPr>
              <w:t>)</w:t>
            </w:r>
          </w:p>
        </w:tc>
      </w:tr>
      <w:tr w:rsidR="00E022E3" w:rsidRPr="009119A5" w14:paraId="2DBC4F49" w14:textId="77777777" w:rsidTr="009E54FE">
        <w:trPr>
          <w:trHeight w:val="288"/>
        </w:trPr>
        <w:tc>
          <w:tcPr>
            <w:tcW w:w="2790" w:type="dxa"/>
            <w:vAlign w:val="center"/>
          </w:tcPr>
          <w:p w14:paraId="29D6A69F" w14:textId="3ECFAF65"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2AC2ED24" w14:textId="3EABCBEE"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8.7 (9.4)</w:t>
            </w:r>
          </w:p>
        </w:tc>
        <w:tc>
          <w:tcPr>
            <w:tcW w:w="1530" w:type="dxa"/>
            <w:gridSpan w:val="3"/>
            <w:vAlign w:val="center"/>
          </w:tcPr>
          <w:p w14:paraId="13104D95" w14:textId="5FBB346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8.9 (7.3)</w:t>
            </w:r>
          </w:p>
        </w:tc>
        <w:tc>
          <w:tcPr>
            <w:tcW w:w="4590" w:type="dxa"/>
            <w:gridSpan w:val="2"/>
            <w:vAlign w:val="center"/>
          </w:tcPr>
          <w:p w14:paraId="1BF1FE7A" w14:textId="6434F16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(0.96-1.02, p=0.7</w:t>
            </w:r>
            <w:r w:rsidR="00D55F4A">
              <w:rPr>
                <w:rFonts w:asciiTheme="minorHAnsi" w:hAnsiTheme="minorHAnsi" w:cstheme="minorHAnsi"/>
                <w:sz w:val="18"/>
                <w:szCs w:val="18"/>
              </w:rPr>
              <w:t>6</w:t>
            </w:r>
            <w:r>
              <w:rPr>
                <w:rFonts w:asciiTheme="minorHAnsi" w:hAnsiTheme="minorHAnsi" w:cstheme="minorHAnsi"/>
                <w:sz w:val="18"/>
                <w:szCs w:val="18"/>
              </w:rPr>
              <w:t>)</w:t>
            </w:r>
          </w:p>
        </w:tc>
      </w:tr>
      <w:tr w:rsidR="00E022E3" w:rsidRPr="009119A5" w14:paraId="624130D7" w14:textId="77777777" w:rsidTr="009E54FE">
        <w:trPr>
          <w:trHeight w:val="288"/>
        </w:trPr>
        <w:tc>
          <w:tcPr>
            <w:tcW w:w="2790" w:type="dxa"/>
            <w:vAlign w:val="center"/>
          </w:tcPr>
          <w:p w14:paraId="2C3A6981" w14:textId="54360C36"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57EE465D" w14:textId="2BD5AC6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92.0 (13.1)</w:t>
            </w:r>
          </w:p>
        </w:tc>
        <w:tc>
          <w:tcPr>
            <w:tcW w:w="1530" w:type="dxa"/>
            <w:gridSpan w:val="3"/>
            <w:vAlign w:val="center"/>
          </w:tcPr>
          <w:p w14:paraId="6B0E4915" w14:textId="3F42ED17"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86.3 (17.2)</w:t>
            </w:r>
          </w:p>
        </w:tc>
        <w:tc>
          <w:tcPr>
            <w:tcW w:w="4590" w:type="dxa"/>
            <w:gridSpan w:val="2"/>
            <w:vAlign w:val="center"/>
          </w:tcPr>
          <w:p w14:paraId="6185BA19" w14:textId="5E1ECCD8"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0.9</w:t>
            </w:r>
            <w:r w:rsidR="00D55F4A">
              <w:rPr>
                <w:rFonts w:asciiTheme="minorHAnsi" w:hAnsiTheme="minorHAnsi" w:cstheme="minorHAnsi"/>
                <w:sz w:val="18"/>
                <w:szCs w:val="18"/>
              </w:rPr>
              <w:t>8</w:t>
            </w:r>
            <w:r>
              <w:rPr>
                <w:rFonts w:asciiTheme="minorHAnsi" w:hAnsiTheme="minorHAnsi" w:cstheme="minorHAnsi"/>
                <w:sz w:val="18"/>
                <w:szCs w:val="18"/>
              </w:rPr>
              <w:t xml:space="preserve"> (0.96-1.01, p=0.</w:t>
            </w:r>
            <w:r w:rsidR="00D55F4A">
              <w:rPr>
                <w:rFonts w:asciiTheme="minorHAnsi" w:hAnsiTheme="minorHAnsi" w:cstheme="minorHAnsi"/>
                <w:sz w:val="18"/>
                <w:szCs w:val="18"/>
              </w:rPr>
              <w:t>18</w:t>
            </w:r>
            <w:r>
              <w:rPr>
                <w:rFonts w:asciiTheme="minorHAnsi" w:hAnsiTheme="minorHAnsi" w:cstheme="minorHAnsi"/>
                <w:sz w:val="18"/>
                <w:szCs w:val="18"/>
              </w:rPr>
              <w:t>)</w:t>
            </w:r>
          </w:p>
        </w:tc>
      </w:tr>
      <w:tr w:rsidR="00E022E3" w:rsidRPr="009119A5" w14:paraId="0F13457F" w14:textId="77777777" w:rsidTr="009E54FE">
        <w:trPr>
          <w:trHeight w:val="288"/>
        </w:trPr>
        <w:tc>
          <w:tcPr>
            <w:tcW w:w="2790" w:type="dxa"/>
            <w:vAlign w:val="center"/>
          </w:tcPr>
          <w:p w14:paraId="79FB8730" w14:textId="09B0F1D0"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417E2989" w14:textId="058E5BC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68.7 (28.7)</w:t>
            </w:r>
          </w:p>
        </w:tc>
        <w:tc>
          <w:tcPr>
            <w:tcW w:w="1530" w:type="dxa"/>
            <w:gridSpan w:val="3"/>
            <w:vAlign w:val="center"/>
          </w:tcPr>
          <w:p w14:paraId="200C323B" w14:textId="4162D12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59.0 (31.5)</w:t>
            </w:r>
          </w:p>
        </w:tc>
        <w:tc>
          <w:tcPr>
            <w:tcW w:w="4590" w:type="dxa"/>
            <w:gridSpan w:val="2"/>
            <w:vAlign w:val="center"/>
          </w:tcPr>
          <w:p w14:paraId="1F2CA71A" w14:textId="5EA56A09"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(0.99-1.01, p=0.4</w:t>
            </w:r>
            <w:r w:rsidR="00D55F4A">
              <w:rPr>
                <w:rFonts w:asciiTheme="minorHAnsi" w:hAnsiTheme="minorHAnsi" w:cstheme="minorHAnsi"/>
                <w:sz w:val="18"/>
                <w:szCs w:val="18"/>
              </w:rPr>
              <w:t>9</w:t>
            </w:r>
            <w:r>
              <w:rPr>
                <w:rFonts w:asciiTheme="minorHAnsi" w:hAnsiTheme="minorHAnsi" w:cstheme="minorHAnsi"/>
                <w:sz w:val="18"/>
                <w:szCs w:val="18"/>
              </w:rPr>
              <w:t>)</w:t>
            </w:r>
          </w:p>
        </w:tc>
      </w:tr>
      <w:tr w:rsidR="00E022E3" w:rsidRPr="009119A5" w14:paraId="44D28DAF" w14:textId="77777777" w:rsidTr="009E54FE">
        <w:trPr>
          <w:trHeight w:val="288"/>
        </w:trPr>
        <w:tc>
          <w:tcPr>
            <w:tcW w:w="2790" w:type="dxa"/>
            <w:vAlign w:val="center"/>
          </w:tcPr>
          <w:p w14:paraId="715DE3B0" w14:textId="0B84FB34"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39F4CCE0" w14:textId="06FDCCE9"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144 (83.7%)</w:t>
            </w:r>
          </w:p>
        </w:tc>
        <w:tc>
          <w:tcPr>
            <w:tcW w:w="1530" w:type="dxa"/>
            <w:gridSpan w:val="3"/>
            <w:vAlign w:val="center"/>
          </w:tcPr>
          <w:p w14:paraId="7F64839D" w14:textId="51AACC07"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28 (16.3%)</w:t>
            </w:r>
          </w:p>
        </w:tc>
        <w:tc>
          <w:tcPr>
            <w:tcW w:w="4590" w:type="dxa"/>
            <w:gridSpan w:val="2"/>
            <w:vAlign w:val="center"/>
          </w:tcPr>
          <w:p w14:paraId="5B6B7774" w14:textId="46D573F2"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0.5</w:t>
            </w:r>
            <w:r w:rsidR="00D55F4A">
              <w:rPr>
                <w:rFonts w:asciiTheme="minorHAnsi" w:hAnsiTheme="minorHAnsi" w:cstheme="minorHAnsi"/>
                <w:sz w:val="18"/>
                <w:szCs w:val="18"/>
              </w:rPr>
              <w:t>6</w:t>
            </w:r>
            <w:r>
              <w:rPr>
                <w:rFonts w:asciiTheme="minorHAnsi" w:hAnsiTheme="minorHAnsi" w:cstheme="minorHAnsi"/>
                <w:sz w:val="18"/>
                <w:szCs w:val="18"/>
              </w:rPr>
              <w:t xml:space="preserve"> (0.2</w:t>
            </w:r>
            <w:r w:rsidR="00D55F4A">
              <w:rPr>
                <w:rFonts w:asciiTheme="minorHAnsi" w:hAnsiTheme="minorHAnsi" w:cstheme="minorHAnsi"/>
                <w:sz w:val="18"/>
                <w:szCs w:val="18"/>
              </w:rPr>
              <w:t>4</w:t>
            </w:r>
            <w:r>
              <w:rPr>
                <w:rFonts w:asciiTheme="minorHAnsi" w:hAnsiTheme="minorHAnsi" w:cstheme="minorHAnsi"/>
                <w:sz w:val="18"/>
                <w:szCs w:val="18"/>
              </w:rPr>
              <w:t>-1.</w:t>
            </w:r>
            <w:r w:rsidR="00D55F4A">
              <w:rPr>
                <w:rFonts w:asciiTheme="minorHAnsi" w:hAnsiTheme="minorHAnsi" w:cstheme="minorHAnsi"/>
                <w:sz w:val="18"/>
                <w:szCs w:val="18"/>
              </w:rPr>
              <w:t>31</w:t>
            </w:r>
            <w:r>
              <w:rPr>
                <w:rFonts w:asciiTheme="minorHAnsi" w:hAnsiTheme="minorHAnsi" w:cstheme="minorHAnsi"/>
                <w:sz w:val="18"/>
                <w:szCs w:val="18"/>
              </w:rPr>
              <w:t>, p=0.1</w:t>
            </w:r>
            <w:r w:rsidR="008E7C15">
              <w:rPr>
                <w:rFonts w:asciiTheme="minorHAnsi" w:hAnsiTheme="minorHAnsi" w:cstheme="minorHAnsi"/>
                <w:sz w:val="18"/>
                <w:szCs w:val="18"/>
              </w:rPr>
              <w:t>8</w:t>
            </w:r>
            <w:r>
              <w:rPr>
                <w:rFonts w:asciiTheme="minorHAnsi" w:hAnsiTheme="minorHAnsi" w:cstheme="minorHAnsi"/>
                <w:sz w:val="18"/>
                <w:szCs w:val="18"/>
              </w:rPr>
              <w:t>)</w:t>
            </w:r>
          </w:p>
        </w:tc>
      </w:tr>
      <w:tr w:rsidR="00E022E3" w:rsidRPr="009119A5" w14:paraId="55496F73" w14:textId="77777777" w:rsidTr="009E54FE">
        <w:trPr>
          <w:trHeight w:val="288"/>
        </w:trPr>
        <w:tc>
          <w:tcPr>
            <w:tcW w:w="2790" w:type="dxa"/>
            <w:vAlign w:val="center"/>
          </w:tcPr>
          <w:p w14:paraId="5C9245AB" w14:textId="79AE042E"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72879BD1" w14:textId="20620A07"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82 (93.2%)</w:t>
            </w:r>
          </w:p>
        </w:tc>
        <w:tc>
          <w:tcPr>
            <w:tcW w:w="1530" w:type="dxa"/>
            <w:gridSpan w:val="3"/>
            <w:vAlign w:val="center"/>
          </w:tcPr>
          <w:p w14:paraId="577193F1" w14:textId="6C276E14"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6 (6.8%)</w:t>
            </w:r>
          </w:p>
        </w:tc>
        <w:tc>
          <w:tcPr>
            <w:tcW w:w="4590" w:type="dxa"/>
            <w:gridSpan w:val="2"/>
            <w:vAlign w:val="center"/>
          </w:tcPr>
          <w:p w14:paraId="6E3A7FE5" w14:textId="7D54CFFA" w:rsidR="00E022E3" w:rsidRPr="009119A5" w:rsidRDefault="00E022E3" w:rsidP="00E022E3">
            <w:pPr>
              <w:pStyle w:val="NoSpacing"/>
              <w:jc w:val="right"/>
              <w:rPr>
                <w:rFonts w:asciiTheme="minorHAnsi" w:hAnsiTheme="minorHAnsi" w:cstheme="minorHAnsi"/>
                <w:sz w:val="18"/>
                <w:szCs w:val="18"/>
              </w:rPr>
            </w:pPr>
            <w:r w:rsidRPr="00E022E3">
              <w:rPr>
                <w:rFonts w:asciiTheme="minorHAnsi" w:hAnsiTheme="minorHAnsi" w:cstheme="minorHAnsi"/>
                <w:sz w:val="18"/>
                <w:szCs w:val="18"/>
                <w:highlight w:val="yellow"/>
              </w:rPr>
              <w:t>0.1</w:t>
            </w:r>
            <w:r w:rsidR="00D55F4A">
              <w:rPr>
                <w:rFonts w:asciiTheme="minorHAnsi" w:hAnsiTheme="minorHAnsi" w:cstheme="minorHAnsi"/>
                <w:sz w:val="18"/>
                <w:szCs w:val="18"/>
                <w:highlight w:val="yellow"/>
              </w:rPr>
              <w:t>9</w:t>
            </w:r>
            <w:r w:rsidRPr="00E022E3">
              <w:rPr>
                <w:rFonts w:asciiTheme="minorHAnsi" w:hAnsiTheme="minorHAnsi" w:cstheme="minorHAnsi"/>
                <w:sz w:val="18"/>
                <w:szCs w:val="18"/>
                <w:highlight w:val="yellow"/>
              </w:rPr>
              <w:t xml:space="preserve"> (0.0</w:t>
            </w:r>
            <w:r w:rsidR="00D55F4A">
              <w:rPr>
                <w:rFonts w:asciiTheme="minorHAnsi" w:hAnsiTheme="minorHAnsi" w:cstheme="minorHAnsi"/>
                <w:sz w:val="18"/>
                <w:szCs w:val="18"/>
                <w:highlight w:val="yellow"/>
              </w:rPr>
              <w:t>6</w:t>
            </w:r>
            <w:r w:rsidRPr="00E022E3">
              <w:rPr>
                <w:rFonts w:asciiTheme="minorHAnsi" w:hAnsiTheme="minorHAnsi" w:cstheme="minorHAnsi"/>
                <w:sz w:val="18"/>
                <w:szCs w:val="18"/>
                <w:highlight w:val="yellow"/>
              </w:rPr>
              <w:t>-0.5</w:t>
            </w:r>
            <w:r w:rsidR="00D55F4A">
              <w:rPr>
                <w:rFonts w:asciiTheme="minorHAnsi" w:hAnsiTheme="minorHAnsi" w:cstheme="minorHAnsi"/>
                <w:sz w:val="18"/>
                <w:szCs w:val="18"/>
                <w:highlight w:val="yellow"/>
              </w:rPr>
              <w:t>9</w:t>
            </w:r>
            <w:r w:rsidRPr="00E022E3">
              <w:rPr>
                <w:rFonts w:asciiTheme="minorHAnsi" w:hAnsiTheme="minorHAnsi" w:cstheme="minorHAnsi"/>
                <w:sz w:val="18"/>
                <w:szCs w:val="18"/>
                <w:highlight w:val="yellow"/>
              </w:rPr>
              <w:t>, p=0.00</w:t>
            </w:r>
            <w:r w:rsidR="00D55F4A">
              <w:rPr>
                <w:rFonts w:asciiTheme="minorHAnsi" w:hAnsiTheme="minorHAnsi" w:cstheme="minorHAnsi"/>
                <w:sz w:val="18"/>
                <w:szCs w:val="18"/>
                <w:highlight w:val="yellow"/>
              </w:rPr>
              <w:t>5</w:t>
            </w:r>
            <w:r w:rsidRPr="00E022E3">
              <w:rPr>
                <w:rFonts w:asciiTheme="minorHAnsi" w:hAnsiTheme="minorHAnsi" w:cstheme="minorHAnsi"/>
                <w:sz w:val="18"/>
                <w:szCs w:val="18"/>
                <w:highlight w:val="yellow"/>
              </w:rPr>
              <w:t>)</w:t>
            </w:r>
          </w:p>
        </w:tc>
      </w:tr>
      <w:tr w:rsidR="00E022E3" w:rsidRPr="009119A5" w14:paraId="30172ED3" w14:textId="77777777" w:rsidTr="009E54FE">
        <w:trPr>
          <w:trHeight w:val="288"/>
        </w:trPr>
        <w:tc>
          <w:tcPr>
            <w:tcW w:w="2790" w:type="dxa"/>
            <w:vAlign w:val="center"/>
          </w:tcPr>
          <w:p w14:paraId="7D4560F8" w14:textId="6294E93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69A61442" w14:textId="3FB6F6A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38 (90.5%)</w:t>
            </w:r>
          </w:p>
        </w:tc>
        <w:tc>
          <w:tcPr>
            <w:tcW w:w="1530" w:type="dxa"/>
            <w:gridSpan w:val="3"/>
            <w:vAlign w:val="center"/>
          </w:tcPr>
          <w:p w14:paraId="23642615" w14:textId="6921CC45"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 (9.5%)</w:t>
            </w:r>
          </w:p>
        </w:tc>
        <w:tc>
          <w:tcPr>
            <w:tcW w:w="4590" w:type="dxa"/>
            <w:gridSpan w:val="2"/>
            <w:vAlign w:val="center"/>
          </w:tcPr>
          <w:p w14:paraId="61C07A0D" w14:textId="05CDE535" w:rsidR="00E022E3" w:rsidRPr="00A25FCD" w:rsidRDefault="00E022E3" w:rsidP="00E022E3">
            <w:pPr>
              <w:pStyle w:val="NoSpacing"/>
              <w:jc w:val="right"/>
              <w:rPr>
                <w:rFonts w:asciiTheme="minorHAnsi" w:hAnsiTheme="minorHAnsi" w:cstheme="minorHAnsi"/>
                <w:sz w:val="18"/>
                <w:szCs w:val="18"/>
              </w:rPr>
            </w:pPr>
            <w:r w:rsidRPr="00260272">
              <w:rPr>
                <w:rFonts w:asciiTheme="minorHAnsi" w:hAnsiTheme="minorHAnsi" w:cstheme="minorHAnsi"/>
                <w:sz w:val="18"/>
                <w:szCs w:val="18"/>
              </w:rPr>
              <w:t>0.3</w:t>
            </w:r>
            <w:r w:rsidR="00D55F4A">
              <w:rPr>
                <w:rFonts w:asciiTheme="minorHAnsi" w:hAnsiTheme="minorHAnsi" w:cstheme="minorHAnsi"/>
                <w:sz w:val="18"/>
                <w:szCs w:val="18"/>
              </w:rPr>
              <w:t>2</w:t>
            </w:r>
            <w:r w:rsidRPr="00260272">
              <w:rPr>
                <w:rFonts w:asciiTheme="minorHAnsi" w:hAnsiTheme="minorHAnsi" w:cstheme="minorHAnsi"/>
                <w:sz w:val="18"/>
                <w:szCs w:val="18"/>
              </w:rPr>
              <w:t xml:space="preserve"> (0.0</w:t>
            </w:r>
            <w:r w:rsidR="00D55F4A">
              <w:rPr>
                <w:rFonts w:asciiTheme="minorHAnsi" w:hAnsiTheme="minorHAnsi" w:cstheme="minorHAnsi"/>
                <w:sz w:val="18"/>
                <w:szCs w:val="18"/>
              </w:rPr>
              <w:t>8</w:t>
            </w:r>
            <w:r w:rsidRPr="00260272">
              <w:rPr>
                <w:rFonts w:asciiTheme="minorHAnsi" w:hAnsiTheme="minorHAnsi" w:cstheme="minorHAnsi"/>
                <w:sz w:val="18"/>
                <w:szCs w:val="18"/>
              </w:rPr>
              <w:t>-1.</w:t>
            </w:r>
            <w:r w:rsidR="00D55F4A">
              <w:rPr>
                <w:rFonts w:asciiTheme="minorHAnsi" w:hAnsiTheme="minorHAnsi" w:cstheme="minorHAnsi"/>
                <w:sz w:val="18"/>
                <w:szCs w:val="18"/>
              </w:rPr>
              <w:t>13</w:t>
            </w:r>
            <w:r w:rsidRPr="00260272">
              <w:rPr>
                <w:rFonts w:asciiTheme="minorHAnsi" w:hAnsiTheme="minorHAnsi" w:cstheme="minorHAnsi"/>
                <w:sz w:val="18"/>
                <w:szCs w:val="18"/>
              </w:rPr>
              <w:t>, p=0.0</w:t>
            </w:r>
            <w:r w:rsidR="00D55F4A">
              <w:rPr>
                <w:rFonts w:asciiTheme="minorHAnsi" w:hAnsiTheme="minorHAnsi" w:cstheme="minorHAnsi"/>
                <w:sz w:val="18"/>
                <w:szCs w:val="18"/>
              </w:rPr>
              <w:t>9</w:t>
            </w:r>
            <w:r w:rsidRPr="00260272">
              <w:rPr>
                <w:rFonts w:asciiTheme="minorHAnsi" w:hAnsiTheme="minorHAnsi" w:cstheme="minorHAnsi"/>
                <w:sz w:val="18"/>
                <w:szCs w:val="18"/>
              </w:rPr>
              <w:t>)</w:t>
            </w:r>
          </w:p>
        </w:tc>
      </w:tr>
      <w:tr w:rsidR="00E022E3" w:rsidRPr="009119A5" w14:paraId="1C50E5D4" w14:textId="77777777" w:rsidTr="009E54FE">
        <w:trPr>
          <w:trHeight w:val="288"/>
        </w:trPr>
        <w:tc>
          <w:tcPr>
            <w:tcW w:w="2790" w:type="dxa"/>
            <w:vAlign w:val="center"/>
          </w:tcPr>
          <w:p w14:paraId="046C0FED" w14:textId="64D61B59"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40AB9E36" w14:textId="50A65E37"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53 (85.5%)</w:t>
            </w:r>
          </w:p>
        </w:tc>
        <w:tc>
          <w:tcPr>
            <w:tcW w:w="1530" w:type="dxa"/>
            <w:gridSpan w:val="3"/>
            <w:vAlign w:val="center"/>
          </w:tcPr>
          <w:p w14:paraId="12E1506B" w14:textId="19793415"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9 (14.5%)</w:t>
            </w:r>
          </w:p>
        </w:tc>
        <w:tc>
          <w:tcPr>
            <w:tcW w:w="4590" w:type="dxa"/>
            <w:gridSpan w:val="2"/>
            <w:vAlign w:val="center"/>
          </w:tcPr>
          <w:p w14:paraId="11C3B705" w14:textId="78C65C95"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0.4</w:t>
            </w:r>
            <w:r w:rsidR="00D55F4A">
              <w:rPr>
                <w:rFonts w:asciiTheme="minorHAnsi" w:hAnsiTheme="minorHAnsi" w:cstheme="minorHAnsi"/>
                <w:sz w:val="18"/>
                <w:szCs w:val="18"/>
              </w:rPr>
              <w:t>4</w:t>
            </w:r>
            <w:r>
              <w:rPr>
                <w:rFonts w:asciiTheme="minorHAnsi" w:hAnsiTheme="minorHAnsi" w:cstheme="minorHAnsi"/>
                <w:sz w:val="18"/>
                <w:szCs w:val="18"/>
              </w:rPr>
              <w:t xml:space="preserve"> (0.15-1.2</w:t>
            </w:r>
            <w:r w:rsidR="00D55F4A">
              <w:rPr>
                <w:rFonts w:asciiTheme="minorHAnsi" w:hAnsiTheme="minorHAnsi" w:cstheme="minorHAnsi"/>
                <w:sz w:val="18"/>
                <w:szCs w:val="18"/>
              </w:rPr>
              <w:t>4</w:t>
            </w:r>
            <w:r>
              <w:rPr>
                <w:rFonts w:asciiTheme="minorHAnsi" w:hAnsiTheme="minorHAnsi" w:cstheme="minorHAnsi"/>
                <w:sz w:val="18"/>
                <w:szCs w:val="18"/>
              </w:rPr>
              <w:t>, p=0.1</w:t>
            </w:r>
            <w:r w:rsidR="008E7C15">
              <w:rPr>
                <w:rFonts w:asciiTheme="minorHAnsi" w:hAnsiTheme="minorHAnsi" w:cstheme="minorHAnsi"/>
                <w:sz w:val="18"/>
                <w:szCs w:val="18"/>
              </w:rPr>
              <w:t>3</w:t>
            </w:r>
            <w:r>
              <w:rPr>
                <w:rFonts w:asciiTheme="minorHAnsi" w:hAnsiTheme="minorHAnsi" w:cstheme="minorHAnsi"/>
                <w:sz w:val="18"/>
                <w:szCs w:val="18"/>
              </w:rPr>
              <w:t>)</w:t>
            </w:r>
          </w:p>
        </w:tc>
      </w:tr>
      <w:tr w:rsidR="00E022E3" w:rsidRPr="009119A5" w14:paraId="6E256C1D" w14:textId="77777777" w:rsidTr="009E54FE">
        <w:trPr>
          <w:trHeight w:val="288"/>
        </w:trPr>
        <w:tc>
          <w:tcPr>
            <w:tcW w:w="2790" w:type="dxa"/>
            <w:vAlign w:val="center"/>
          </w:tcPr>
          <w:p w14:paraId="668DB388" w14:textId="3F10AF7C"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lastRenderedPageBreak/>
              <w:t>MUL, coronal (</w:t>
            </w:r>
            <w:r>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652D471D" w14:textId="0486D0BB"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15.3 (3.7)</w:t>
            </w:r>
          </w:p>
        </w:tc>
        <w:tc>
          <w:tcPr>
            <w:tcW w:w="1530" w:type="dxa"/>
            <w:gridSpan w:val="3"/>
            <w:vAlign w:val="center"/>
          </w:tcPr>
          <w:p w14:paraId="150E1428" w14:textId="43025792"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13.5 (3.9)</w:t>
            </w:r>
          </w:p>
        </w:tc>
        <w:tc>
          <w:tcPr>
            <w:tcW w:w="4590" w:type="dxa"/>
            <w:gridSpan w:val="2"/>
            <w:vAlign w:val="center"/>
          </w:tcPr>
          <w:p w14:paraId="101E1C04" w14:textId="2641F37E" w:rsidR="00E022E3" w:rsidRPr="009119A5" w:rsidRDefault="00E022E3" w:rsidP="00E022E3">
            <w:pPr>
              <w:pStyle w:val="NoSpacing"/>
              <w:jc w:val="right"/>
              <w:rPr>
                <w:rFonts w:asciiTheme="minorHAnsi" w:hAnsiTheme="minorHAnsi" w:cstheme="minorHAnsi"/>
                <w:sz w:val="18"/>
                <w:szCs w:val="18"/>
              </w:rPr>
            </w:pPr>
            <w:r w:rsidRPr="00E022E3">
              <w:rPr>
                <w:rFonts w:asciiTheme="minorHAnsi" w:hAnsiTheme="minorHAnsi" w:cstheme="minorHAnsi"/>
                <w:sz w:val="18"/>
                <w:szCs w:val="18"/>
                <w:highlight w:val="yellow"/>
              </w:rPr>
              <w:t>0.8</w:t>
            </w:r>
            <w:r w:rsidR="00D55F4A">
              <w:rPr>
                <w:rFonts w:asciiTheme="minorHAnsi" w:hAnsiTheme="minorHAnsi" w:cstheme="minorHAnsi"/>
                <w:sz w:val="18"/>
                <w:szCs w:val="18"/>
                <w:highlight w:val="yellow"/>
              </w:rPr>
              <w:t>6</w:t>
            </w:r>
            <w:r w:rsidRPr="00E022E3">
              <w:rPr>
                <w:rFonts w:asciiTheme="minorHAnsi" w:hAnsiTheme="minorHAnsi" w:cstheme="minorHAnsi"/>
                <w:sz w:val="18"/>
                <w:szCs w:val="18"/>
                <w:highlight w:val="yellow"/>
              </w:rPr>
              <w:t xml:space="preserve"> (0.</w:t>
            </w:r>
            <w:r w:rsidR="00D55F4A">
              <w:rPr>
                <w:rFonts w:asciiTheme="minorHAnsi" w:hAnsiTheme="minorHAnsi" w:cstheme="minorHAnsi"/>
                <w:sz w:val="18"/>
                <w:szCs w:val="18"/>
                <w:highlight w:val="yellow"/>
              </w:rPr>
              <w:t>78-0.95, p</w:t>
            </w:r>
            <w:r w:rsidR="00317522">
              <w:rPr>
                <w:rFonts w:asciiTheme="minorHAnsi" w:hAnsiTheme="minorHAnsi" w:cstheme="minorHAnsi"/>
                <w:sz w:val="18"/>
                <w:szCs w:val="18"/>
                <w:highlight w:val="yellow"/>
              </w:rPr>
              <w:t>=</w:t>
            </w:r>
            <w:r w:rsidR="00D55F4A">
              <w:rPr>
                <w:rFonts w:asciiTheme="minorHAnsi" w:hAnsiTheme="minorHAnsi" w:cstheme="minorHAnsi"/>
                <w:sz w:val="18"/>
                <w:szCs w:val="18"/>
                <w:highlight w:val="yellow"/>
              </w:rPr>
              <w:t>0.003</w:t>
            </w:r>
            <w:r w:rsidRPr="00E022E3">
              <w:rPr>
                <w:rFonts w:asciiTheme="minorHAnsi" w:hAnsiTheme="minorHAnsi" w:cstheme="minorHAnsi"/>
                <w:sz w:val="18"/>
                <w:szCs w:val="18"/>
                <w:highlight w:val="yellow"/>
              </w:rPr>
              <w:t>)</w:t>
            </w:r>
          </w:p>
        </w:tc>
      </w:tr>
      <w:tr w:rsidR="00E022E3" w:rsidRPr="009119A5" w14:paraId="2B27B472" w14:textId="77777777" w:rsidTr="009E54FE">
        <w:trPr>
          <w:trHeight w:val="288"/>
        </w:trPr>
        <w:tc>
          <w:tcPr>
            <w:tcW w:w="2790" w:type="dxa"/>
            <w:vAlign w:val="center"/>
          </w:tcPr>
          <w:p w14:paraId="2CB18A40" w14:textId="073FC75F"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32117A84" w14:textId="4B74E8F9"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16.7 (3.0)</w:t>
            </w:r>
          </w:p>
        </w:tc>
        <w:tc>
          <w:tcPr>
            <w:tcW w:w="1530" w:type="dxa"/>
            <w:gridSpan w:val="3"/>
            <w:vAlign w:val="center"/>
          </w:tcPr>
          <w:p w14:paraId="6395D572" w14:textId="5F1A7D29"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17.5 (3.6)</w:t>
            </w:r>
          </w:p>
        </w:tc>
        <w:tc>
          <w:tcPr>
            <w:tcW w:w="4590" w:type="dxa"/>
            <w:gridSpan w:val="2"/>
            <w:vAlign w:val="center"/>
          </w:tcPr>
          <w:p w14:paraId="219D508B" w14:textId="5E2B77F1" w:rsidR="00E022E3" w:rsidRPr="009119A5" w:rsidRDefault="00D55F4A"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(0.87-1.14, p=0.9</w:t>
            </w:r>
            <w:r w:rsidR="008E7C15">
              <w:rPr>
                <w:rFonts w:asciiTheme="minorHAnsi" w:hAnsiTheme="minorHAnsi" w:cstheme="minorHAnsi"/>
                <w:sz w:val="18"/>
                <w:szCs w:val="18"/>
              </w:rPr>
              <w:t>7</w:t>
            </w:r>
            <w:r w:rsidR="00E022E3">
              <w:rPr>
                <w:rFonts w:asciiTheme="minorHAnsi" w:hAnsiTheme="minorHAnsi" w:cstheme="minorHAnsi"/>
                <w:sz w:val="18"/>
                <w:szCs w:val="18"/>
              </w:rPr>
              <w:t>)</w:t>
            </w:r>
          </w:p>
        </w:tc>
      </w:tr>
      <w:tr w:rsidR="00E022E3" w:rsidRPr="009119A5" w14:paraId="21584A34" w14:textId="77777777" w:rsidTr="009E54FE">
        <w:trPr>
          <w:trHeight w:val="288"/>
        </w:trPr>
        <w:tc>
          <w:tcPr>
            <w:tcW w:w="2790" w:type="dxa"/>
            <w:vAlign w:val="center"/>
          </w:tcPr>
          <w:p w14:paraId="2D424BFD" w14:textId="34AFFF5B"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6369E2D4" w14:textId="409060B1"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37.1 (4.2)</w:t>
            </w:r>
          </w:p>
        </w:tc>
        <w:tc>
          <w:tcPr>
            <w:tcW w:w="1530" w:type="dxa"/>
            <w:gridSpan w:val="3"/>
            <w:vAlign w:val="center"/>
          </w:tcPr>
          <w:p w14:paraId="702FC883" w14:textId="7DDA447B" w:rsidR="00E022E3" w:rsidRPr="009119A5" w:rsidRDefault="00D55F4A" w:rsidP="00E022E3">
            <w:pPr>
              <w:pStyle w:val="NoSpacing"/>
              <w:rPr>
                <w:rFonts w:asciiTheme="minorHAnsi" w:hAnsiTheme="minorHAnsi" w:cstheme="minorHAnsi"/>
                <w:sz w:val="18"/>
                <w:szCs w:val="18"/>
              </w:rPr>
            </w:pPr>
            <w:r>
              <w:rPr>
                <w:rFonts w:asciiTheme="minorHAnsi" w:hAnsiTheme="minorHAnsi" w:cstheme="minorHAnsi"/>
                <w:sz w:val="18"/>
                <w:szCs w:val="18"/>
              </w:rPr>
              <w:t>37.7 (4.5)</w:t>
            </w:r>
          </w:p>
        </w:tc>
        <w:tc>
          <w:tcPr>
            <w:tcW w:w="4590" w:type="dxa"/>
            <w:gridSpan w:val="2"/>
            <w:vAlign w:val="center"/>
          </w:tcPr>
          <w:p w14:paraId="60A7D30B" w14:textId="44A5456C" w:rsidR="00E022E3" w:rsidRPr="009119A5" w:rsidRDefault="00E022E3" w:rsidP="00E022E3">
            <w:pPr>
              <w:pStyle w:val="NoSpacing"/>
              <w:jc w:val="right"/>
              <w:rPr>
                <w:rFonts w:asciiTheme="minorHAnsi" w:hAnsiTheme="minorHAnsi" w:cstheme="minorHAnsi"/>
                <w:sz w:val="18"/>
                <w:szCs w:val="18"/>
              </w:rPr>
            </w:pPr>
            <w:r w:rsidRPr="00317522">
              <w:rPr>
                <w:rFonts w:asciiTheme="minorHAnsi" w:hAnsiTheme="minorHAnsi" w:cstheme="minorHAnsi"/>
                <w:sz w:val="18"/>
                <w:szCs w:val="18"/>
              </w:rPr>
              <w:t>1.</w:t>
            </w:r>
            <w:r w:rsidR="00D55F4A">
              <w:rPr>
                <w:rFonts w:asciiTheme="minorHAnsi" w:hAnsiTheme="minorHAnsi" w:cstheme="minorHAnsi"/>
                <w:sz w:val="18"/>
                <w:szCs w:val="18"/>
              </w:rPr>
              <w:t>03 (0.94-1.13, p=0.54</w:t>
            </w:r>
            <w:r w:rsidRPr="00317522">
              <w:rPr>
                <w:rFonts w:asciiTheme="minorHAnsi" w:hAnsiTheme="minorHAnsi" w:cstheme="minorHAnsi"/>
                <w:sz w:val="18"/>
                <w:szCs w:val="18"/>
              </w:rPr>
              <w:t>)</w:t>
            </w:r>
          </w:p>
        </w:tc>
      </w:tr>
      <w:tr w:rsidR="00E022E3" w:rsidRPr="009119A5" w14:paraId="306FDBEB" w14:textId="77777777" w:rsidTr="009E54FE">
        <w:trPr>
          <w:trHeight w:val="288"/>
        </w:trPr>
        <w:tc>
          <w:tcPr>
            <w:tcW w:w="2790" w:type="dxa"/>
            <w:vAlign w:val="center"/>
          </w:tcPr>
          <w:p w14:paraId="5323745F" w14:textId="71A580D8" w:rsidR="00E022E3" w:rsidRPr="009119A5" w:rsidRDefault="00E022E3" w:rsidP="00E022E3">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1234454B" w14:textId="3F51E64A"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129.2 (11.6)</w:t>
            </w:r>
          </w:p>
        </w:tc>
        <w:tc>
          <w:tcPr>
            <w:tcW w:w="1530" w:type="dxa"/>
            <w:gridSpan w:val="3"/>
            <w:vAlign w:val="center"/>
          </w:tcPr>
          <w:p w14:paraId="7A530D7B" w14:textId="43FC7AD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126.9 (11.9)</w:t>
            </w:r>
          </w:p>
        </w:tc>
        <w:tc>
          <w:tcPr>
            <w:tcW w:w="4590" w:type="dxa"/>
            <w:gridSpan w:val="2"/>
            <w:vAlign w:val="center"/>
          </w:tcPr>
          <w:p w14:paraId="307C6D0A" w14:textId="13651727"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0.98 (0.96-1.01, p=0.</w:t>
            </w:r>
            <w:r w:rsidR="00D55F4A">
              <w:rPr>
                <w:rFonts w:asciiTheme="minorHAnsi" w:hAnsiTheme="minorHAnsi" w:cstheme="minorHAnsi"/>
                <w:sz w:val="18"/>
                <w:szCs w:val="18"/>
              </w:rPr>
              <w:t>27</w:t>
            </w:r>
            <w:r>
              <w:rPr>
                <w:rFonts w:asciiTheme="minorHAnsi" w:hAnsiTheme="minorHAnsi" w:cstheme="minorHAnsi"/>
                <w:sz w:val="18"/>
                <w:szCs w:val="18"/>
              </w:rPr>
              <w:t>)</w:t>
            </w:r>
          </w:p>
        </w:tc>
      </w:tr>
      <w:tr w:rsidR="00E022E3" w:rsidRPr="009119A5" w14:paraId="093B1793" w14:textId="77777777" w:rsidTr="009E54FE">
        <w:trPr>
          <w:trHeight w:val="288"/>
        </w:trPr>
        <w:tc>
          <w:tcPr>
            <w:tcW w:w="2790" w:type="dxa"/>
            <w:vAlign w:val="center"/>
          </w:tcPr>
          <w:p w14:paraId="4E54A48E" w14:textId="1E5B1D03" w:rsidR="00E022E3" w:rsidRPr="009119A5" w:rsidRDefault="00E022E3" w:rsidP="00E022E3">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2039C1CA" w14:textId="4800D79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55.2 (12.0)</w:t>
            </w:r>
          </w:p>
        </w:tc>
        <w:tc>
          <w:tcPr>
            <w:tcW w:w="1530" w:type="dxa"/>
            <w:gridSpan w:val="3"/>
            <w:vAlign w:val="center"/>
          </w:tcPr>
          <w:p w14:paraId="62CC32EE" w14:textId="635C1ED0"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57.3 (12.5)</w:t>
            </w:r>
          </w:p>
        </w:tc>
        <w:tc>
          <w:tcPr>
            <w:tcW w:w="4590" w:type="dxa"/>
            <w:gridSpan w:val="2"/>
            <w:vAlign w:val="center"/>
          </w:tcPr>
          <w:p w14:paraId="5211A02F" w14:textId="148E5E11"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w:t>
            </w:r>
            <w:r w:rsidR="00D55F4A">
              <w:rPr>
                <w:rFonts w:asciiTheme="minorHAnsi" w:hAnsiTheme="minorHAnsi" w:cstheme="minorHAnsi"/>
                <w:sz w:val="18"/>
                <w:szCs w:val="18"/>
              </w:rPr>
              <w:t>7</w:t>
            </w:r>
            <w:r>
              <w:rPr>
                <w:rFonts w:asciiTheme="minorHAnsi" w:hAnsiTheme="minorHAnsi" w:cstheme="minorHAnsi"/>
                <w:sz w:val="18"/>
                <w:szCs w:val="18"/>
              </w:rPr>
              <w:t>-1.03, p=0.</w:t>
            </w:r>
            <w:r w:rsidR="00D55F4A">
              <w:rPr>
                <w:rFonts w:asciiTheme="minorHAnsi" w:hAnsiTheme="minorHAnsi" w:cstheme="minorHAnsi"/>
                <w:sz w:val="18"/>
                <w:szCs w:val="18"/>
              </w:rPr>
              <w:t>9</w:t>
            </w:r>
            <w:r w:rsidR="008E7C15">
              <w:rPr>
                <w:rFonts w:asciiTheme="minorHAnsi" w:hAnsiTheme="minorHAnsi" w:cstheme="minorHAnsi"/>
                <w:sz w:val="18"/>
                <w:szCs w:val="18"/>
              </w:rPr>
              <w:t>1</w:t>
            </w:r>
            <w:r>
              <w:rPr>
                <w:rFonts w:asciiTheme="minorHAnsi" w:hAnsiTheme="minorHAnsi" w:cstheme="minorHAnsi"/>
                <w:sz w:val="18"/>
                <w:szCs w:val="18"/>
              </w:rPr>
              <w:t>)</w:t>
            </w:r>
          </w:p>
        </w:tc>
      </w:tr>
      <w:tr w:rsidR="00E022E3" w:rsidRPr="009119A5" w14:paraId="4355898F" w14:textId="77777777" w:rsidTr="009E54FE">
        <w:trPr>
          <w:trHeight w:val="288"/>
        </w:trPr>
        <w:tc>
          <w:tcPr>
            <w:tcW w:w="2790" w:type="dxa"/>
            <w:vAlign w:val="center"/>
          </w:tcPr>
          <w:p w14:paraId="3B04167A" w14:textId="23BEAE77"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26DF2961" w14:textId="6016F2A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43.0 (22.1)</w:t>
            </w:r>
          </w:p>
        </w:tc>
        <w:tc>
          <w:tcPr>
            <w:tcW w:w="1530" w:type="dxa"/>
            <w:gridSpan w:val="3"/>
            <w:vAlign w:val="center"/>
          </w:tcPr>
          <w:p w14:paraId="5A4326A8" w14:textId="6B68738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48.7 (30.9)</w:t>
            </w:r>
          </w:p>
        </w:tc>
        <w:tc>
          <w:tcPr>
            <w:tcW w:w="4590" w:type="dxa"/>
            <w:gridSpan w:val="2"/>
            <w:vAlign w:val="center"/>
          </w:tcPr>
          <w:p w14:paraId="6D1E6D57" w14:textId="34BB6DD2"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1.00 (0.99-1.02, p=0.5</w:t>
            </w:r>
            <w:r w:rsidR="00D55F4A">
              <w:rPr>
                <w:rFonts w:asciiTheme="minorHAnsi" w:hAnsiTheme="minorHAnsi" w:cstheme="minorHAnsi"/>
                <w:sz w:val="18"/>
                <w:szCs w:val="18"/>
              </w:rPr>
              <w:t>9</w:t>
            </w:r>
            <w:r>
              <w:rPr>
                <w:rFonts w:asciiTheme="minorHAnsi" w:hAnsiTheme="minorHAnsi" w:cstheme="minorHAnsi"/>
                <w:sz w:val="18"/>
                <w:szCs w:val="18"/>
              </w:rPr>
              <w:t>)</w:t>
            </w:r>
          </w:p>
        </w:tc>
      </w:tr>
      <w:tr w:rsidR="00E022E3" w:rsidRPr="009119A5" w14:paraId="677EB038" w14:textId="77777777" w:rsidTr="009E54FE">
        <w:trPr>
          <w:trHeight w:val="288"/>
        </w:trPr>
        <w:tc>
          <w:tcPr>
            <w:tcW w:w="2790" w:type="dxa"/>
            <w:vAlign w:val="center"/>
          </w:tcPr>
          <w:p w14:paraId="438AFC9B" w14:textId="28CF5E14"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46098EFD" w14:textId="21258B24"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157 (90.2%)</w:t>
            </w:r>
          </w:p>
        </w:tc>
        <w:tc>
          <w:tcPr>
            <w:tcW w:w="1530" w:type="dxa"/>
            <w:gridSpan w:val="3"/>
            <w:vAlign w:val="center"/>
          </w:tcPr>
          <w:p w14:paraId="77BF6117" w14:textId="3857B06E"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17 (9.8%)</w:t>
            </w:r>
          </w:p>
        </w:tc>
        <w:tc>
          <w:tcPr>
            <w:tcW w:w="4590" w:type="dxa"/>
            <w:gridSpan w:val="2"/>
            <w:vAlign w:val="center"/>
          </w:tcPr>
          <w:p w14:paraId="0D894DEA" w14:textId="4963D5F7" w:rsidR="00E022E3" w:rsidRPr="009119A5" w:rsidRDefault="00D55F4A" w:rsidP="00E022E3">
            <w:pPr>
              <w:pStyle w:val="NoSpacing"/>
              <w:jc w:val="right"/>
              <w:rPr>
                <w:rFonts w:asciiTheme="minorHAnsi" w:hAnsiTheme="minorHAnsi" w:cstheme="minorHAnsi"/>
                <w:sz w:val="18"/>
                <w:szCs w:val="18"/>
              </w:rPr>
            </w:pPr>
            <w:r>
              <w:rPr>
                <w:rFonts w:asciiTheme="minorHAnsi" w:hAnsiTheme="minorHAnsi" w:cstheme="minorHAnsi"/>
                <w:sz w:val="18"/>
                <w:szCs w:val="18"/>
              </w:rPr>
              <w:t>3.03 (0.70-21.96, p=0.1</w:t>
            </w:r>
            <w:r w:rsidR="008E7C15">
              <w:rPr>
                <w:rFonts w:asciiTheme="minorHAnsi" w:hAnsiTheme="minorHAnsi" w:cstheme="minorHAnsi"/>
                <w:sz w:val="18"/>
                <w:szCs w:val="18"/>
              </w:rPr>
              <w:t>9</w:t>
            </w:r>
            <w:r w:rsidR="00E022E3">
              <w:rPr>
                <w:rFonts w:asciiTheme="minorHAnsi" w:hAnsiTheme="minorHAnsi" w:cstheme="minorHAnsi"/>
                <w:sz w:val="18"/>
                <w:szCs w:val="18"/>
              </w:rPr>
              <w:t>)</w:t>
            </w:r>
          </w:p>
        </w:tc>
      </w:tr>
      <w:tr w:rsidR="00E022E3" w:rsidRPr="009119A5" w14:paraId="27AC6A74" w14:textId="77777777" w:rsidTr="009E54FE">
        <w:trPr>
          <w:trHeight w:val="288"/>
        </w:trPr>
        <w:tc>
          <w:tcPr>
            <w:tcW w:w="2790" w:type="dxa"/>
            <w:vAlign w:val="center"/>
          </w:tcPr>
          <w:p w14:paraId="023B469D" w14:textId="0EDDC4E1" w:rsidR="00E022E3" w:rsidRPr="009119A5" w:rsidRDefault="00E022E3" w:rsidP="00E022E3">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3710A896" w14:textId="17184953"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173 (82.0%)</w:t>
            </w:r>
          </w:p>
        </w:tc>
        <w:tc>
          <w:tcPr>
            <w:tcW w:w="1530" w:type="dxa"/>
            <w:gridSpan w:val="3"/>
            <w:vAlign w:val="center"/>
          </w:tcPr>
          <w:p w14:paraId="15205B23" w14:textId="19C1B512"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38 (18.0%)</w:t>
            </w:r>
          </w:p>
        </w:tc>
        <w:tc>
          <w:tcPr>
            <w:tcW w:w="4590" w:type="dxa"/>
            <w:gridSpan w:val="2"/>
            <w:vAlign w:val="center"/>
          </w:tcPr>
          <w:p w14:paraId="7BDEA6A8" w14:textId="16143043" w:rsidR="00E022E3" w:rsidRPr="009119A5" w:rsidRDefault="00D55F4A" w:rsidP="00E022E3">
            <w:pPr>
              <w:pStyle w:val="NoSpacing"/>
              <w:jc w:val="right"/>
              <w:rPr>
                <w:rFonts w:asciiTheme="minorHAnsi" w:hAnsiTheme="minorHAnsi" w:cstheme="minorHAnsi"/>
                <w:sz w:val="18"/>
                <w:szCs w:val="18"/>
              </w:rPr>
            </w:pPr>
            <w:r>
              <w:rPr>
                <w:rFonts w:asciiTheme="minorHAnsi" w:hAnsiTheme="minorHAnsi" w:cstheme="minorHAnsi"/>
                <w:sz w:val="18"/>
                <w:szCs w:val="18"/>
                <w:highlight w:val="yellow"/>
              </w:rPr>
              <w:t>6.99 (1.62-51.00, p=0.02</w:t>
            </w:r>
            <w:r w:rsidR="00E022E3" w:rsidRPr="00E022E3">
              <w:rPr>
                <w:rFonts w:asciiTheme="minorHAnsi" w:hAnsiTheme="minorHAnsi" w:cstheme="minorHAnsi"/>
                <w:sz w:val="18"/>
                <w:szCs w:val="18"/>
                <w:highlight w:val="yellow"/>
              </w:rPr>
              <w:t>)</w:t>
            </w:r>
          </w:p>
        </w:tc>
      </w:tr>
      <w:tr w:rsidR="00E022E3" w:rsidRPr="009119A5" w14:paraId="0A7C5B4F" w14:textId="77777777" w:rsidTr="009E54FE">
        <w:trPr>
          <w:trHeight w:val="288"/>
        </w:trPr>
        <w:tc>
          <w:tcPr>
            <w:tcW w:w="2790" w:type="dxa"/>
            <w:vAlign w:val="center"/>
          </w:tcPr>
          <w:p w14:paraId="1C7C9B84" w14:textId="0455A83D"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7366D358" w14:textId="77777777" w:rsidR="00E022E3" w:rsidRPr="009119A5" w:rsidRDefault="00E022E3" w:rsidP="00E022E3">
            <w:pPr>
              <w:pStyle w:val="NoSpacing"/>
              <w:rPr>
                <w:rFonts w:asciiTheme="minorHAnsi" w:hAnsiTheme="minorHAnsi" w:cstheme="minorHAnsi"/>
                <w:sz w:val="18"/>
                <w:szCs w:val="18"/>
              </w:rPr>
            </w:pPr>
          </w:p>
        </w:tc>
        <w:tc>
          <w:tcPr>
            <w:tcW w:w="1530" w:type="dxa"/>
            <w:gridSpan w:val="3"/>
            <w:vAlign w:val="center"/>
          </w:tcPr>
          <w:p w14:paraId="4AC6C03E" w14:textId="77777777" w:rsidR="00E022E3" w:rsidRPr="009119A5" w:rsidRDefault="00E022E3" w:rsidP="00E022E3">
            <w:pPr>
              <w:pStyle w:val="NoSpacing"/>
              <w:rPr>
                <w:rFonts w:asciiTheme="minorHAnsi" w:hAnsiTheme="minorHAnsi" w:cstheme="minorHAnsi"/>
                <w:sz w:val="18"/>
                <w:szCs w:val="18"/>
              </w:rPr>
            </w:pPr>
          </w:p>
        </w:tc>
        <w:tc>
          <w:tcPr>
            <w:tcW w:w="4590" w:type="dxa"/>
            <w:gridSpan w:val="2"/>
            <w:vAlign w:val="center"/>
          </w:tcPr>
          <w:p w14:paraId="6E7B47BF" w14:textId="77777777" w:rsidR="00E022E3" w:rsidRPr="009119A5" w:rsidRDefault="00E022E3" w:rsidP="00E022E3">
            <w:pPr>
              <w:pStyle w:val="NoSpacing"/>
              <w:jc w:val="right"/>
              <w:rPr>
                <w:rFonts w:asciiTheme="minorHAnsi" w:hAnsiTheme="minorHAnsi" w:cstheme="minorHAnsi"/>
                <w:sz w:val="18"/>
                <w:szCs w:val="18"/>
              </w:rPr>
            </w:pPr>
          </w:p>
        </w:tc>
      </w:tr>
      <w:tr w:rsidR="00E022E3" w:rsidRPr="009119A5" w14:paraId="30E44464" w14:textId="77777777" w:rsidTr="009E54FE">
        <w:trPr>
          <w:trHeight w:val="288"/>
        </w:trPr>
        <w:tc>
          <w:tcPr>
            <w:tcW w:w="2790" w:type="dxa"/>
            <w:vAlign w:val="center"/>
          </w:tcPr>
          <w:p w14:paraId="5FC78EFC" w14:textId="2AE2D1ED"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05C5369D" w14:textId="374C24B1"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 (87.4%)</w:t>
            </w:r>
          </w:p>
        </w:tc>
        <w:tc>
          <w:tcPr>
            <w:tcW w:w="1530" w:type="dxa"/>
            <w:gridSpan w:val="3"/>
            <w:vAlign w:val="center"/>
          </w:tcPr>
          <w:p w14:paraId="79CCC913" w14:textId="7F287A21"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 (14.7%)</w:t>
            </w:r>
          </w:p>
        </w:tc>
        <w:tc>
          <w:tcPr>
            <w:tcW w:w="4590" w:type="dxa"/>
            <w:gridSpan w:val="2"/>
            <w:vAlign w:val="center"/>
          </w:tcPr>
          <w:p w14:paraId="0F970D42" w14:textId="09DAADBA"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1.1</w:t>
            </w:r>
            <w:r w:rsidR="00D55F4A">
              <w:rPr>
                <w:rFonts w:asciiTheme="minorHAnsi" w:hAnsiTheme="minorHAnsi" w:cstheme="minorHAnsi"/>
                <w:sz w:val="18"/>
                <w:szCs w:val="18"/>
              </w:rPr>
              <w:t>5</w:t>
            </w:r>
            <w:r>
              <w:rPr>
                <w:rFonts w:asciiTheme="minorHAnsi" w:hAnsiTheme="minorHAnsi" w:cstheme="minorHAnsi"/>
                <w:sz w:val="18"/>
                <w:szCs w:val="18"/>
              </w:rPr>
              <w:t xml:space="preserve"> (0.</w:t>
            </w:r>
            <w:r w:rsidR="00D55F4A">
              <w:rPr>
                <w:rFonts w:asciiTheme="minorHAnsi" w:hAnsiTheme="minorHAnsi" w:cstheme="minorHAnsi"/>
                <w:sz w:val="18"/>
                <w:szCs w:val="18"/>
              </w:rPr>
              <w:t>29-4.13, p=0.8</w:t>
            </w:r>
            <w:r w:rsidR="008E7C15">
              <w:rPr>
                <w:rFonts w:asciiTheme="minorHAnsi" w:hAnsiTheme="minorHAnsi" w:cstheme="minorHAnsi"/>
                <w:sz w:val="18"/>
                <w:szCs w:val="18"/>
              </w:rPr>
              <w:t>4</w:t>
            </w:r>
            <w:r>
              <w:rPr>
                <w:rFonts w:asciiTheme="minorHAnsi" w:hAnsiTheme="minorHAnsi" w:cstheme="minorHAnsi"/>
                <w:sz w:val="18"/>
                <w:szCs w:val="18"/>
              </w:rPr>
              <w:t>)</w:t>
            </w:r>
          </w:p>
        </w:tc>
      </w:tr>
      <w:tr w:rsidR="00E022E3" w:rsidRPr="009119A5" w14:paraId="47B44AB5" w14:textId="77777777" w:rsidTr="009E54FE">
        <w:trPr>
          <w:trHeight w:val="288"/>
        </w:trPr>
        <w:tc>
          <w:tcPr>
            <w:tcW w:w="2790" w:type="dxa"/>
            <w:vAlign w:val="center"/>
          </w:tcPr>
          <w:p w14:paraId="402078A2" w14:textId="34FA18A4" w:rsidR="00E022E3"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38C0C38E" w14:textId="4EE25067"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5 (71.4%)</w:t>
            </w:r>
          </w:p>
        </w:tc>
        <w:tc>
          <w:tcPr>
            <w:tcW w:w="1530" w:type="dxa"/>
            <w:gridSpan w:val="3"/>
            <w:vAlign w:val="center"/>
          </w:tcPr>
          <w:p w14:paraId="561AFD38" w14:textId="5B33688B"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 (28.6%)</w:t>
            </w:r>
          </w:p>
        </w:tc>
        <w:tc>
          <w:tcPr>
            <w:tcW w:w="4590" w:type="dxa"/>
            <w:gridSpan w:val="2"/>
            <w:vAlign w:val="center"/>
          </w:tcPr>
          <w:p w14:paraId="66578C75" w14:textId="2547726B" w:rsidR="00E022E3" w:rsidRPr="009119A5" w:rsidRDefault="00D55F4A" w:rsidP="00E022E3">
            <w:pPr>
              <w:pStyle w:val="NoSpacing"/>
              <w:jc w:val="right"/>
              <w:rPr>
                <w:rFonts w:asciiTheme="minorHAnsi" w:hAnsiTheme="minorHAnsi" w:cstheme="minorHAnsi"/>
                <w:sz w:val="18"/>
                <w:szCs w:val="18"/>
              </w:rPr>
            </w:pPr>
            <w:r>
              <w:rPr>
                <w:rFonts w:asciiTheme="minorHAnsi" w:hAnsiTheme="minorHAnsi" w:cstheme="minorHAnsi"/>
                <w:sz w:val="18"/>
                <w:szCs w:val="18"/>
              </w:rPr>
              <w:t>1.91 (0.18-14.52, p=0.55</w:t>
            </w:r>
            <w:r w:rsidR="00E022E3">
              <w:rPr>
                <w:rFonts w:asciiTheme="minorHAnsi" w:hAnsiTheme="minorHAnsi" w:cstheme="minorHAnsi"/>
                <w:sz w:val="18"/>
                <w:szCs w:val="18"/>
              </w:rPr>
              <w:t>)</w:t>
            </w:r>
          </w:p>
        </w:tc>
      </w:tr>
      <w:tr w:rsidR="00E022E3" w:rsidRPr="009119A5" w14:paraId="772C7852" w14:textId="77777777" w:rsidTr="009E54FE">
        <w:trPr>
          <w:trHeight w:val="288"/>
        </w:trPr>
        <w:tc>
          <w:tcPr>
            <w:tcW w:w="2790" w:type="dxa"/>
            <w:vAlign w:val="center"/>
          </w:tcPr>
          <w:p w14:paraId="6AA2D24D" w14:textId="2A0F4A83" w:rsidR="00E022E3"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036AB7EE" w14:textId="5E3E7044"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291 (86.9%)</w:t>
            </w:r>
          </w:p>
        </w:tc>
        <w:tc>
          <w:tcPr>
            <w:tcW w:w="1530" w:type="dxa"/>
            <w:gridSpan w:val="3"/>
            <w:vAlign w:val="center"/>
          </w:tcPr>
          <w:p w14:paraId="301EE4C7" w14:textId="1C65BD64" w:rsidR="00E022E3" w:rsidRPr="009119A5" w:rsidRDefault="00E022E3" w:rsidP="00E022E3">
            <w:pPr>
              <w:pStyle w:val="NoSpacing"/>
              <w:rPr>
                <w:rFonts w:asciiTheme="minorHAnsi" w:hAnsiTheme="minorHAnsi" w:cstheme="minorHAnsi"/>
                <w:sz w:val="18"/>
                <w:szCs w:val="18"/>
              </w:rPr>
            </w:pPr>
            <w:r>
              <w:rPr>
                <w:rFonts w:asciiTheme="minorHAnsi" w:hAnsiTheme="minorHAnsi" w:cstheme="minorHAnsi"/>
                <w:sz w:val="18"/>
                <w:szCs w:val="18"/>
              </w:rPr>
              <w:t>44 (13.1%)</w:t>
            </w:r>
          </w:p>
        </w:tc>
        <w:tc>
          <w:tcPr>
            <w:tcW w:w="4590" w:type="dxa"/>
            <w:gridSpan w:val="2"/>
            <w:vAlign w:val="center"/>
          </w:tcPr>
          <w:p w14:paraId="7EBB6C08" w14:textId="59F00329" w:rsidR="00E022E3" w:rsidRPr="009119A5" w:rsidRDefault="00E022E3" w:rsidP="00E022E3">
            <w:pPr>
              <w:pStyle w:val="NoSpacing"/>
              <w:jc w:val="right"/>
              <w:rPr>
                <w:rFonts w:asciiTheme="minorHAnsi" w:hAnsiTheme="minorHAnsi" w:cstheme="minorHAnsi"/>
                <w:sz w:val="18"/>
                <w:szCs w:val="18"/>
              </w:rPr>
            </w:pPr>
            <w:r>
              <w:rPr>
                <w:rFonts w:asciiTheme="minorHAnsi" w:hAnsiTheme="minorHAnsi" w:cstheme="minorHAnsi"/>
                <w:sz w:val="18"/>
                <w:szCs w:val="18"/>
              </w:rPr>
              <w:t>1.</w:t>
            </w:r>
            <w:r w:rsidR="00D55F4A">
              <w:rPr>
                <w:rFonts w:asciiTheme="minorHAnsi" w:hAnsiTheme="minorHAnsi" w:cstheme="minorHAnsi"/>
                <w:sz w:val="18"/>
                <w:szCs w:val="18"/>
              </w:rPr>
              <w:t>48 (0.65-3.67, p=0.3</w:t>
            </w:r>
            <w:r w:rsidR="008E7C15">
              <w:rPr>
                <w:rFonts w:asciiTheme="minorHAnsi" w:hAnsiTheme="minorHAnsi" w:cstheme="minorHAnsi"/>
                <w:sz w:val="18"/>
                <w:szCs w:val="18"/>
              </w:rPr>
              <w:t>7</w:t>
            </w:r>
            <w:r>
              <w:rPr>
                <w:rFonts w:asciiTheme="minorHAnsi" w:hAnsiTheme="minorHAnsi" w:cstheme="minorHAnsi"/>
                <w:sz w:val="18"/>
                <w:szCs w:val="18"/>
              </w:rPr>
              <w:t>)</w:t>
            </w:r>
          </w:p>
        </w:tc>
      </w:tr>
    </w:tbl>
    <w:p w14:paraId="677FC67B" w14:textId="77777777" w:rsidR="001A0AAD" w:rsidRDefault="001A0AAD" w:rsidP="00295F5C">
      <w:pPr>
        <w:spacing w:line="480" w:lineRule="auto"/>
        <w:rPr>
          <w:rFonts w:asciiTheme="minorHAnsi" w:hAnsiTheme="minorHAnsi" w:cstheme="minorHAnsi"/>
          <w:sz w:val="22"/>
          <w:szCs w:val="22"/>
        </w:rPr>
      </w:pPr>
    </w:p>
    <w:p w14:paraId="4409B994"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MUL: membranous urethra length</w:t>
      </w:r>
    </w:p>
    <w:p w14:paraId="44214A64"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LD: levator diameter</w:t>
      </w:r>
      <w:r w:rsidRPr="0040096C">
        <w:rPr>
          <w:rFonts w:asciiTheme="minorHAnsi" w:hAnsiTheme="minorHAnsi" w:cstheme="minorHAnsi"/>
          <w:sz w:val="20"/>
          <w:szCs w:val="20"/>
        </w:rPr>
        <w:br/>
      </w:r>
      <w:proofErr w:type="spellStart"/>
      <w:r w:rsidRPr="0040096C">
        <w:rPr>
          <w:rFonts w:asciiTheme="minorHAnsi" w:hAnsiTheme="minorHAnsi" w:cstheme="minorHAnsi"/>
          <w:sz w:val="20"/>
          <w:szCs w:val="20"/>
        </w:rPr>
        <w:t>aMUP</w:t>
      </w:r>
      <w:proofErr w:type="spellEnd"/>
      <w:r w:rsidRPr="0040096C">
        <w:rPr>
          <w:rFonts w:asciiTheme="minorHAnsi" w:hAnsiTheme="minorHAnsi" w:cstheme="minorHAnsi"/>
          <w:sz w:val="20"/>
          <w:szCs w:val="20"/>
        </w:rPr>
        <w:t>: angle between membranous urethra and prostatic axis</w:t>
      </w:r>
    </w:p>
    <w:p w14:paraId="0D23ADCC" w14:textId="77777777" w:rsidR="005C2A4E" w:rsidRDefault="005C2A4E">
      <w:pPr>
        <w:rPr>
          <w:rFonts w:asciiTheme="minorHAnsi" w:hAnsiTheme="minorHAnsi" w:cstheme="minorHAnsi"/>
          <w:b/>
          <w:sz w:val="22"/>
          <w:szCs w:val="22"/>
        </w:rPr>
      </w:pPr>
      <w:r>
        <w:rPr>
          <w:rFonts w:asciiTheme="minorHAnsi" w:hAnsiTheme="minorHAnsi" w:cstheme="minorHAnsi"/>
          <w:b/>
          <w:sz w:val="22"/>
          <w:szCs w:val="22"/>
        </w:rPr>
        <w:br w:type="page"/>
      </w:r>
    </w:p>
    <w:p w14:paraId="58D8CC7B" w14:textId="1BE0F214" w:rsidR="00E022E3" w:rsidRDefault="004450B8"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lastRenderedPageBreak/>
        <w:t>Table 4</w:t>
      </w:r>
      <w:r>
        <w:rPr>
          <w:rFonts w:asciiTheme="minorHAnsi" w:hAnsiTheme="minorHAnsi" w:cstheme="minorHAnsi"/>
          <w:sz w:val="22"/>
          <w:szCs w:val="22"/>
        </w:rPr>
        <w:t xml:space="preserve">. </w:t>
      </w:r>
      <w:r w:rsidR="006440AF">
        <w:rPr>
          <w:rFonts w:asciiTheme="minorHAnsi" w:hAnsiTheme="minorHAnsi" w:cstheme="minorHAnsi"/>
          <w:sz w:val="22"/>
          <w:szCs w:val="22"/>
        </w:rPr>
        <w:t xml:space="preserve">Univariable and multi-variable analyses of </w:t>
      </w:r>
      <w:r w:rsidR="00F52A0A">
        <w:rPr>
          <w:rFonts w:asciiTheme="minorHAnsi" w:hAnsiTheme="minorHAnsi" w:cstheme="minorHAnsi"/>
          <w:sz w:val="22"/>
          <w:szCs w:val="22"/>
        </w:rPr>
        <w:t>continence at 12</w:t>
      </w:r>
      <w:r w:rsidR="006440AF">
        <w:rPr>
          <w:rFonts w:asciiTheme="minorHAnsi" w:hAnsiTheme="minorHAnsi" w:cstheme="minorHAnsi"/>
          <w:sz w:val="22"/>
          <w:szCs w:val="22"/>
        </w:rPr>
        <w:t xml:space="preserve"> </w:t>
      </w:r>
      <w:r w:rsidR="00F52A0A">
        <w:rPr>
          <w:rFonts w:asciiTheme="minorHAnsi" w:hAnsiTheme="minorHAnsi" w:cstheme="minorHAnsi"/>
          <w:sz w:val="22"/>
          <w:szCs w:val="22"/>
        </w:rPr>
        <w:t>months post-radical prostatectomy</w:t>
      </w:r>
      <w:r w:rsidR="00DC5472">
        <w:rPr>
          <w:rFonts w:asciiTheme="minorHAnsi" w:hAnsiTheme="minorHAnsi" w:cstheme="minorHAnsi"/>
          <w:sz w:val="22"/>
          <w:szCs w:val="22"/>
        </w:rPr>
        <w:t>. Odds ratios below ‘1’ indicate a lesser risk of incontinence.</w:t>
      </w:r>
      <w:r w:rsidR="001B56AD">
        <w:rPr>
          <w:rFonts w:asciiTheme="minorHAnsi" w:hAnsiTheme="minorHAnsi" w:cstheme="minorHAnsi"/>
          <w:sz w:val="22"/>
          <w:szCs w:val="22"/>
        </w:rPr>
        <w:t xml:space="preserve"> Reference for PI-RADS scores is PI-RADS 3. Reference for grade group is grade group 1.</w:t>
      </w:r>
    </w:p>
    <w:tbl>
      <w:tblPr>
        <w:tblStyle w:val="TableGrid"/>
        <w:tblW w:w="10440" w:type="dxa"/>
        <w:tblInd w:w="-455" w:type="dxa"/>
        <w:tblLook w:val="04A0" w:firstRow="1" w:lastRow="0" w:firstColumn="1" w:lastColumn="0" w:noHBand="0" w:noVBand="1"/>
      </w:tblPr>
      <w:tblGrid>
        <w:gridCol w:w="2790"/>
        <w:gridCol w:w="1530"/>
        <w:gridCol w:w="810"/>
        <w:gridCol w:w="90"/>
        <w:gridCol w:w="630"/>
        <w:gridCol w:w="2340"/>
        <w:gridCol w:w="2250"/>
      </w:tblGrid>
      <w:tr w:rsidR="00E022E3" w:rsidRPr="009119A5" w14:paraId="2BBC9C1B" w14:textId="77777777" w:rsidTr="009E54FE">
        <w:trPr>
          <w:trHeight w:val="288"/>
        </w:trPr>
        <w:tc>
          <w:tcPr>
            <w:tcW w:w="5130" w:type="dxa"/>
            <w:gridSpan w:val="3"/>
            <w:tcBorders>
              <w:right w:val="nil"/>
            </w:tcBorders>
            <w:vAlign w:val="center"/>
          </w:tcPr>
          <w:p w14:paraId="1029610B" w14:textId="72158331"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MRI Variables Alone</w:t>
            </w:r>
            <w:r w:rsidRPr="009119A5">
              <w:rPr>
                <w:rFonts w:asciiTheme="minorHAnsi" w:hAnsiTheme="minorHAnsi" w:cstheme="minorHAnsi"/>
                <w:sz w:val="18"/>
                <w:szCs w:val="18"/>
              </w:rPr>
              <w:t xml:space="preserve">, N = </w:t>
            </w:r>
            <w:r w:rsidR="00A501D7">
              <w:rPr>
                <w:rFonts w:asciiTheme="minorHAnsi" w:hAnsiTheme="minorHAnsi" w:cstheme="minorHAnsi"/>
                <w:sz w:val="18"/>
                <w:szCs w:val="18"/>
              </w:rPr>
              <w:t>378</w:t>
            </w:r>
          </w:p>
        </w:tc>
        <w:tc>
          <w:tcPr>
            <w:tcW w:w="5310" w:type="dxa"/>
            <w:gridSpan w:val="4"/>
            <w:tcBorders>
              <w:left w:val="nil"/>
            </w:tcBorders>
            <w:vAlign w:val="center"/>
          </w:tcPr>
          <w:p w14:paraId="1E7C9068" w14:textId="7254C0BF"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sidR="00A501D7">
              <w:rPr>
                <w:rFonts w:asciiTheme="minorHAnsi" w:hAnsiTheme="minorHAnsi" w:cstheme="minorHAnsi"/>
                <w:sz w:val="18"/>
                <w:szCs w:val="18"/>
              </w:rPr>
              <w:t xml:space="preserve"> 0.706</w:t>
            </w:r>
            <w:r w:rsidRPr="009119A5">
              <w:rPr>
                <w:rFonts w:asciiTheme="minorHAnsi" w:hAnsiTheme="minorHAnsi" w:cstheme="minorHAnsi"/>
                <w:sz w:val="18"/>
                <w:szCs w:val="18"/>
              </w:rPr>
              <w:t xml:space="preserve"> </w:t>
            </w:r>
          </w:p>
        </w:tc>
      </w:tr>
      <w:tr w:rsidR="00E022E3" w:rsidRPr="009119A5" w14:paraId="2D743581" w14:textId="77777777" w:rsidTr="009E54FE">
        <w:trPr>
          <w:trHeight w:val="288"/>
        </w:trPr>
        <w:tc>
          <w:tcPr>
            <w:tcW w:w="2790" w:type="dxa"/>
            <w:vAlign w:val="center"/>
          </w:tcPr>
          <w:p w14:paraId="7DBD85BB" w14:textId="77777777" w:rsidR="00E022E3" w:rsidRPr="009119A5" w:rsidRDefault="00E022E3" w:rsidP="009E54FE">
            <w:pPr>
              <w:pStyle w:val="NoSpacing"/>
              <w:jc w:val="right"/>
              <w:rPr>
                <w:rFonts w:asciiTheme="minorHAnsi" w:hAnsiTheme="minorHAnsi" w:cstheme="minorHAnsi"/>
                <w:sz w:val="18"/>
                <w:szCs w:val="18"/>
              </w:rPr>
            </w:pPr>
          </w:p>
        </w:tc>
        <w:tc>
          <w:tcPr>
            <w:tcW w:w="1530" w:type="dxa"/>
            <w:vAlign w:val="center"/>
          </w:tcPr>
          <w:p w14:paraId="6AC05389"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6F51B1AB"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2C19D37A"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75D2A797"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6B2C3D08" w14:textId="77777777" w:rsidTr="009E54FE">
        <w:trPr>
          <w:trHeight w:val="288"/>
        </w:trPr>
        <w:tc>
          <w:tcPr>
            <w:tcW w:w="2790" w:type="dxa"/>
            <w:vAlign w:val="center"/>
          </w:tcPr>
          <w:p w14:paraId="5E357432"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MUL, coronal (</w:t>
            </w:r>
            <w:r>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43B7964E" w14:textId="67F88AF9"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15.0 (3.7)</w:t>
            </w:r>
          </w:p>
        </w:tc>
        <w:tc>
          <w:tcPr>
            <w:tcW w:w="1530" w:type="dxa"/>
            <w:gridSpan w:val="3"/>
            <w:vAlign w:val="center"/>
          </w:tcPr>
          <w:p w14:paraId="750DF6A4" w14:textId="03D5C9AD"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13.4 (3.2)</w:t>
            </w:r>
          </w:p>
        </w:tc>
        <w:tc>
          <w:tcPr>
            <w:tcW w:w="2340" w:type="dxa"/>
            <w:vAlign w:val="center"/>
          </w:tcPr>
          <w:p w14:paraId="33BBD648" w14:textId="71E39593" w:rsidR="00E022E3" w:rsidRPr="00A501D7" w:rsidRDefault="00A501D7" w:rsidP="009E54FE">
            <w:pPr>
              <w:pStyle w:val="NoSpacing"/>
              <w:rPr>
                <w:rFonts w:asciiTheme="minorHAnsi" w:hAnsiTheme="minorHAnsi" w:cstheme="minorHAnsi"/>
                <w:sz w:val="18"/>
                <w:szCs w:val="18"/>
                <w:highlight w:val="yellow"/>
              </w:rPr>
            </w:pPr>
            <w:r w:rsidRPr="00A501D7">
              <w:rPr>
                <w:rFonts w:asciiTheme="minorHAnsi" w:hAnsiTheme="minorHAnsi" w:cstheme="minorHAnsi"/>
                <w:sz w:val="18"/>
                <w:szCs w:val="18"/>
                <w:highlight w:val="yellow"/>
              </w:rPr>
              <w:t>0.88 (0.79-0.97, p=0.01)</w:t>
            </w:r>
          </w:p>
        </w:tc>
        <w:tc>
          <w:tcPr>
            <w:tcW w:w="2250" w:type="dxa"/>
            <w:vAlign w:val="center"/>
          </w:tcPr>
          <w:p w14:paraId="481866CA" w14:textId="1F65FC60" w:rsidR="00E022E3" w:rsidRPr="00A501D7" w:rsidRDefault="00A501D7" w:rsidP="009E54FE">
            <w:pPr>
              <w:pStyle w:val="NoSpacing"/>
              <w:rPr>
                <w:rFonts w:asciiTheme="minorHAnsi" w:hAnsiTheme="minorHAnsi" w:cstheme="minorHAnsi"/>
                <w:sz w:val="18"/>
                <w:szCs w:val="18"/>
                <w:highlight w:val="yellow"/>
              </w:rPr>
            </w:pPr>
            <w:r w:rsidRPr="00A501D7">
              <w:rPr>
                <w:rFonts w:asciiTheme="minorHAnsi" w:hAnsiTheme="minorHAnsi" w:cstheme="minorHAnsi"/>
                <w:sz w:val="18"/>
                <w:szCs w:val="18"/>
                <w:highlight w:val="yellow"/>
              </w:rPr>
              <w:t>0.83 (0.73-0.94, p=0.005)</w:t>
            </w:r>
          </w:p>
        </w:tc>
      </w:tr>
      <w:tr w:rsidR="00E022E3" w:rsidRPr="009119A5" w14:paraId="6B39FAC5" w14:textId="77777777" w:rsidTr="009E54FE">
        <w:trPr>
          <w:trHeight w:val="288"/>
        </w:trPr>
        <w:tc>
          <w:tcPr>
            <w:tcW w:w="2790" w:type="dxa"/>
            <w:vAlign w:val="center"/>
          </w:tcPr>
          <w:p w14:paraId="1B2E3A18"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57776AA2" w14:textId="6D1445A7"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16.9 (3.0)</w:t>
            </w:r>
          </w:p>
        </w:tc>
        <w:tc>
          <w:tcPr>
            <w:tcW w:w="1530" w:type="dxa"/>
            <w:gridSpan w:val="3"/>
            <w:vAlign w:val="center"/>
          </w:tcPr>
          <w:p w14:paraId="1B42A05F" w14:textId="41415DD6"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17.6 (3.7)</w:t>
            </w:r>
          </w:p>
        </w:tc>
        <w:tc>
          <w:tcPr>
            <w:tcW w:w="2340" w:type="dxa"/>
            <w:vAlign w:val="center"/>
          </w:tcPr>
          <w:p w14:paraId="660F15FB" w14:textId="477A9B1A"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1.07 (0.96-1.19, p=0.</w:t>
            </w:r>
            <w:r w:rsidR="00050E73">
              <w:rPr>
                <w:rFonts w:asciiTheme="minorHAnsi" w:hAnsiTheme="minorHAnsi" w:cstheme="minorHAnsi"/>
                <w:sz w:val="18"/>
                <w:szCs w:val="18"/>
              </w:rPr>
              <w:t>20</w:t>
            </w:r>
            <w:r>
              <w:rPr>
                <w:rFonts w:asciiTheme="minorHAnsi" w:hAnsiTheme="minorHAnsi" w:cstheme="minorHAnsi"/>
                <w:sz w:val="18"/>
                <w:szCs w:val="18"/>
              </w:rPr>
              <w:t>)</w:t>
            </w:r>
          </w:p>
        </w:tc>
        <w:tc>
          <w:tcPr>
            <w:tcW w:w="2250" w:type="dxa"/>
            <w:vAlign w:val="center"/>
          </w:tcPr>
          <w:p w14:paraId="6BCB243C" w14:textId="22689EF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0.96 (0.81-1.12, p=0.</w:t>
            </w:r>
            <w:r w:rsidR="00050E73">
              <w:rPr>
                <w:rFonts w:asciiTheme="minorHAnsi" w:hAnsiTheme="minorHAnsi" w:cstheme="minorHAnsi"/>
                <w:sz w:val="18"/>
                <w:szCs w:val="18"/>
              </w:rPr>
              <w:t>60</w:t>
            </w:r>
            <w:r>
              <w:rPr>
                <w:rFonts w:asciiTheme="minorHAnsi" w:hAnsiTheme="minorHAnsi" w:cstheme="minorHAnsi"/>
                <w:sz w:val="18"/>
                <w:szCs w:val="18"/>
              </w:rPr>
              <w:t>)</w:t>
            </w:r>
          </w:p>
        </w:tc>
      </w:tr>
      <w:tr w:rsidR="00E022E3" w:rsidRPr="009119A5" w14:paraId="710534A3" w14:textId="77777777" w:rsidTr="009E54FE">
        <w:trPr>
          <w:trHeight w:val="288"/>
        </w:trPr>
        <w:tc>
          <w:tcPr>
            <w:tcW w:w="2790" w:type="dxa"/>
            <w:vAlign w:val="center"/>
          </w:tcPr>
          <w:p w14:paraId="2A5643D7"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4A7554B7" w14:textId="7F774C57"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37.1 (4.1)</w:t>
            </w:r>
          </w:p>
        </w:tc>
        <w:tc>
          <w:tcPr>
            <w:tcW w:w="1530" w:type="dxa"/>
            <w:gridSpan w:val="3"/>
            <w:vAlign w:val="center"/>
          </w:tcPr>
          <w:p w14:paraId="123FC082" w14:textId="4D1FE2CE"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37.5 (3.7)</w:t>
            </w:r>
          </w:p>
        </w:tc>
        <w:tc>
          <w:tcPr>
            <w:tcW w:w="2340" w:type="dxa"/>
            <w:vAlign w:val="center"/>
          </w:tcPr>
          <w:p w14:paraId="32C8EE67" w14:textId="459D1B9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1.02 (0.94-1.11, p=0.57)</w:t>
            </w:r>
          </w:p>
        </w:tc>
        <w:tc>
          <w:tcPr>
            <w:tcW w:w="2250" w:type="dxa"/>
            <w:vAlign w:val="center"/>
          </w:tcPr>
          <w:p w14:paraId="616EC194" w14:textId="22A646D7"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1.06 (0.94-1.20, p=0.34)</w:t>
            </w:r>
          </w:p>
        </w:tc>
      </w:tr>
      <w:tr w:rsidR="00E022E3" w:rsidRPr="009119A5" w14:paraId="523D7CA3" w14:textId="77777777" w:rsidTr="009E54FE">
        <w:trPr>
          <w:trHeight w:val="288"/>
        </w:trPr>
        <w:tc>
          <w:tcPr>
            <w:tcW w:w="2790" w:type="dxa"/>
            <w:vAlign w:val="center"/>
          </w:tcPr>
          <w:p w14:paraId="6FC1444D" w14:textId="77777777" w:rsidR="00E022E3" w:rsidRPr="009119A5" w:rsidRDefault="00E022E3" w:rsidP="009E54FE">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64663E2C" w14:textId="071CBBF2"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129.0 (11.6)</w:t>
            </w:r>
          </w:p>
        </w:tc>
        <w:tc>
          <w:tcPr>
            <w:tcW w:w="1530" w:type="dxa"/>
            <w:gridSpan w:val="3"/>
            <w:vAlign w:val="center"/>
          </w:tcPr>
          <w:p w14:paraId="416C1618" w14:textId="45C21D95"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129.9 (12.3)</w:t>
            </w:r>
          </w:p>
        </w:tc>
        <w:tc>
          <w:tcPr>
            <w:tcW w:w="2340" w:type="dxa"/>
            <w:vAlign w:val="center"/>
          </w:tcPr>
          <w:p w14:paraId="6A987713" w14:textId="3739812C"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1.01 (0.98-1.04, p=0.67)</w:t>
            </w:r>
          </w:p>
        </w:tc>
        <w:tc>
          <w:tcPr>
            <w:tcW w:w="2250" w:type="dxa"/>
            <w:vAlign w:val="center"/>
          </w:tcPr>
          <w:p w14:paraId="761D045E" w14:textId="4514E185"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1.01 (0.98-1.04, p=0.6</w:t>
            </w:r>
            <w:r w:rsidR="00050E73">
              <w:rPr>
                <w:rFonts w:asciiTheme="minorHAnsi" w:hAnsiTheme="minorHAnsi" w:cstheme="minorHAnsi"/>
                <w:sz w:val="18"/>
                <w:szCs w:val="18"/>
              </w:rPr>
              <w:t>3</w:t>
            </w:r>
            <w:r>
              <w:rPr>
                <w:rFonts w:asciiTheme="minorHAnsi" w:hAnsiTheme="minorHAnsi" w:cstheme="minorHAnsi"/>
                <w:sz w:val="18"/>
                <w:szCs w:val="18"/>
              </w:rPr>
              <w:t>)</w:t>
            </w:r>
          </w:p>
        </w:tc>
      </w:tr>
      <w:tr w:rsidR="00E022E3" w:rsidRPr="009119A5" w14:paraId="3F71B8A9" w14:textId="77777777" w:rsidTr="009E54FE">
        <w:trPr>
          <w:trHeight w:val="288"/>
        </w:trPr>
        <w:tc>
          <w:tcPr>
            <w:tcW w:w="2790" w:type="dxa"/>
            <w:vAlign w:val="center"/>
          </w:tcPr>
          <w:p w14:paraId="1BE36809" w14:textId="77777777" w:rsidR="00E022E3" w:rsidRPr="009119A5" w:rsidRDefault="00E022E3" w:rsidP="009E54FE">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7E1AED8B" w14:textId="061DC14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55.3 (11.9)</w:t>
            </w:r>
          </w:p>
        </w:tc>
        <w:tc>
          <w:tcPr>
            <w:tcW w:w="1530" w:type="dxa"/>
            <w:gridSpan w:val="3"/>
            <w:vAlign w:val="center"/>
          </w:tcPr>
          <w:p w14:paraId="6A17EA40" w14:textId="43ECE73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55.9 (11.8)</w:t>
            </w:r>
          </w:p>
        </w:tc>
        <w:tc>
          <w:tcPr>
            <w:tcW w:w="2340" w:type="dxa"/>
            <w:vAlign w:val="center"/>
          </w:tcPr>
          <w:p w14:paraId="328283B9" w14:textId="07C216FB"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1.00 (0.98-1.03, p=0.7</w:t>
            </w:r>
            <w:r w:rsidR="00050E73">
              <w:rPr>
                <w:rFonts w:asciiTheme="minorHAnsi" w:hAnsiTheme="minorHAnsi" w:cstheme="minorHAnsi"/>
                <w:sz w:val="18"/>
                <w:szCs w:val="18"/>
              </w:rPr>
              <w:t>6</w:t>
            </w:r>
            <w:r>
              <w:rPr>
                <w:rFonts w:asciiTheme="minorHAnsi" w:hAnsiTheme="minorHAnsi" w:cstheme="minorHAnsi"/>
                <w:sz w:val="18"/>
                <w:szCs w:val="18"/>
              </w:rPr>
              <w:t>)</w:t>
            </w:r>
          </w:p>
        </w:tc>
        <w:tc>
          <w:tcPr>
            <w:tcW w:w="2250" w:type="dxa"/>
            <w:vAlign w:val="center"/>
          </w:tcPr>
          <w:p w14:paraId="54042E51" w14:textId="37817885"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1.00 (0.96-1.03, p=0.7</w:t>
            </w:r>
            <w:r w:rsidR="00050E73">
              <w:rPr>
                <w:rFonts w:asciiTheme="minorHAnsi" w:hAnsiTheme="minorHAnsi" w:cstheme="minorHAnsi"/>
                <w:sz w:val="18"/>
                <w:szCs w:val="18"/>
              </w:rPr>
              <w:t>8</w:t>
            </w:r>
            <w:r>
              <w:rPr>
                <w:rFonts w:asciiTheme="minorHAnsi" w:hAnsiTheme="minorHAnsi" w:cstheme="minorHAnsi"/>
                <w:sz w:val="18"/>
                <w:szCs w:val="18"/>
              </w:rPr>
              <w:t>)</w:t>
            </w:r>
          </w:p>
        </w:tc>
      </w:tr>
      <w:tr w:rsidR="00E022E3" w:rsidRPr="009119A5" w14:paraId="2FBED529" w14:textId="77777777" w:rsidTr="009E54FE">
        <w:trPr>
          <w:trHeight w:val="288"/>
        </w:trPr>
        <w:tc>
          <w:tcPr>
            <w:tcW w:w="2790" w:type="dxa"/>
            <w:vAlign w:val="center"/>
          </w:tcPr>
          <w:p w14:paraId="08C60011"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2EFD4965" w14:textId="1DC8DA1B"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44.4 (24.9)</w:t>
            </w:r>
          </w:p>
        </w:tc>
        <w:tc>
          <w:tcPr>
            <w:tcW w:w="1530" w:type="dxa"/>
            <w:gridSpan w:val="3"/>
            <w:vAlign w:val="center"/>
          </w:tcPr>
          <w:p w14:paraId="45F56A87" w14:textId="1D71D844"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48.9 (36.2)</w:t>
            </w:r>
          </w:p>
        </w:tc>
        <w:tc>
          <w:tcPr>
            <w:tcW w:w="2340" w:type="dxa"/>
            <w:vAlign w:val="center"/>
          </w:tcPr>
          <w:p w14:paraId="730497C7" w14:textId="0DA11CB6"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1.01 (0.99-1.02, p</w:t>
            </w:r>
            <w:r w:rsidR="008741A0">
              <w:rPr>
                <w:rFonts w:asciiTheme="minorHAnsi" w:hAnsiTheme="minorHAnsi" w:cstheme="minorHAnsi"/>
                <w:sz w:val="18"/>
                <w:szCs w:val="18"/>
              </w:rPr>
              <w:t>=</w:t>
            </w:r>
            <w:r>
              <w:rPr>
                <w:rFonts w:asciiTheme="minorHAnsi" w:hAnsiTheme="minorHAnsi" w:cstheme="minorHAnsi"/>
                <w:sz w:val="18"/>
                <w:szCs w:val="18"/>
              </w:rPr>
              <w:t>0.3</w:t>
            </w:r>
            <w:r w:rsidR="00050E73">
              <w:rPr>
                <w:rFonts w:asciiTheme="minorHAnsi" w:hAnsiTheme="minorHAnsi" w:cstheme="minorHAnsi"/>
                <w:sz w:val="18"/>
                <w:szCs w:val="18"/>
              </w:rPr>
              <w:t>2</w:t>
            </w:r>
            <w:r>
              <w:rPr>
                <w:rFonts w:asciiTheme="minorHAnsi" w:hAnsiTheme="minorHAnsi" w:cstheme="minorHAnsi"/>
                <w:sz w:val="18"/>
                <w:szCs w:val="18"/>
              </w:rPr>
              <w:t>)</w:t>
            </w:r>
          </w:p>
        </w:tc>
        <w:tc>
          <w:tcPr>
            <w:tcW w:w="2250" w:type="dxa"/>
            <w:vAlign w:val="center"/>
          </w:tcPr>
          <w:p w14:paraId="123FAC3A" w14:textId="09A9E38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1.01 (0.99-1.03, p=0.2</w:t>
            </w:r>
            <w:r w:rsidR="00050E73">
              <w:rPr>
                <w:rFonts w:asciiTheme="minorHAnsi" w:hAnsiTheme="minorHAnsi" w:cstheme="minorHAnsi"/>
                <w:sz w:val="18"/>
                <w:szCs w:val="18"/>
              </w:rPr>
              <w:t>5</w:t>
            </w:r>
            <w:r>
              <w:rPr>
                <w:rFonts w:asciiTheme="minorHAnsi" w:hAnsiTheme="minorHAnsi" w:cstheme="minorHAnsi"/>
                <w:sz w:val="18"/>
                <w:szCs w:val="18"/>
              </w:rPr>
              <w:t>)</w:t>
            </w:r>
          </w:p>
        </w:tc>
      </w:tr>
      <w:tr w:rsidR="00E022E3" w:rsidRPr="009119A5" w14:paraId="10529E98" w14:textId="77777777" w:rsidTr="009E54FE">
        <w:trPr>
          <w:trHeight w:val="288"/>
        </w:trPr>
        <w:tc>
          <w:tcPr>
            <w:tcW w:w="2790" w:type="dxa"/>
            <w:vAlign w:val="center"/>
          </w:tcPr>
          <w:p w14:paraId="47044030"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091F576B" w14:textId="7BBD33B6"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162 (94.2%)</w:t>
            </w:r>
          </w:p>
        </w:tc>
        <w:tc>
          <w:tcPr>
            <w:tcW w:w="1530" w:type="dxa"/>
            <w:gridSpan w:val="3"/>
            <w:vAlign w:val="center"/>
          </w:tcPr>
          <w:p w14:paraId="12695F84" w14:textId="6655CC6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 (5.8%)</w:t>
            </w:r>
          </w:p>
        </w:tc>
        <w:tc>
          <w:tcPr>
            <w:tcW w:w="2340" w:type="dxa"/>
            <w:vAlign w:val="center"/>
          </w:tcPr>
          <w:p w14:paraId="6F8214E8" w14:textId="78D7205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0.65 (0.16-4.40, p=0.59)</w:t>
            </w:r>
          </w:p>
        </w:tc>
        <w:tc>
          <w:tcPr>
            <w:tcW w:w="2250" w:type="dxa"/>
            <w:vAlign w:val="center"/>
          </w:tcPr>
          <w:p w14:paraId="6C68ECD5" w14:textId="7FD211B0"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0.83 (0.19-5.84, p=0.8</w:t>
            </w:r>
            <w:r w:rsidR="00050E73">
              <w:rPr>
                <w:rFonts w:asciiTheme="minorHAnsi" w:hAnsiTheme="minorHAnsi" w:cstheme="minorHAnsi"/>
                <w:sz w:val="18"/>
                <w:szCs w:val="18"/>
              </w:rPr>
              <w:t>2</w:t>
            </w:r>
            <w:r>
              <w:rPr>
                <w:rFonts w:asciiTheme="minorHAnsi" w:hAnsiTheme="minorHAnsi" w:cstheme="minorHAnsi"/>
                <w:sz w:val="18"/>
                <w:szCs w:val="18"/>
              </w:rPr>
              <w:t>)</w:t>
            </w:r>
          </w:p>
        </w:tc>
      </w:tr>
      <w:tr w:rsidR="00E022E3" w:rsidRPr="009119A5" w14:paraId="3D6A100F" w14:textId="77777777" w:rsidTr="009E54FE">
        <w:trPr>
          <w:trHeight w:val="288"/>
        </w:trPr>
        <w:tc>
          <w:tcPr>
            <w:tcW w:w="2790" w:type="dxa"/>
            <w:vAlign w:val="center"/>
          </w:tcPr>
          <w:p w14:paraId="4C9AE065"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6C9F5EDA" w14:textId="741658EC"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164 (89.1%)</w:t>
            </w:r>
          </w:p>
        </w:tc>
        <w:tc>
          <w:tcPr>
            <w:tcW w:w="1530" w:type="dxa"/>
            <w:gridSpan w:val="3"/>
            <w:vAlign w:val="center"/>
          </w:tcPr>
          <w:p w14:paraId="3906BB12" w14:textId="61D0EBA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20 (10.9)</w:t>
            </w:r>
          </w:p>
        </w:tc>
        <w:tc>
          <w:tcPr>
            <w:tcW w:w="2340" w:type="dxa"/>
            <w:vAlign w:val="center"/>
          </w:tcPr>
          <w:p w14:paraId="52436E57" w14:textId="7000D2F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1.28 (0.34-8.37, p=0.75)</w:t>
            </w:r>
          </w:p>
        </w:tc>
        <w:tc>
          <w:tcPr>
            <w:tcW w:w="2250" w:type="dxa"/>
            <w:vAlign w:val="center"/>
          </w:tcPr>
          <w:p w14:paraId="7FECE069" w14:textId="6EFD8C24"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1.48 (0.37-10.06, p=0.6</w:t>
            </w:r>
            <w:r w:rsidR="00050E73">
              <w:rPr>
                <w:rFonts w:asciiTheme="minorHAnsi" w:hAnsiTheme="minorHAnsi" w:cstheme="minorHAnsi"/>
                <w:sz w:val="18"/>
                <w:szCs w:val="18"/>
              </w:rPr>
              <w:t>3</w:t>
            </w:r>
            <w:r>
              <w:rPr>
                <w:rFonts w:asciiTheme="minorHAnsi" w:hAnsiTheme="minorHAnsi" w:cstheme="minorHAnsi"/>
                <w:sz w:val="18"/>
                <w:szCs w:val="18"/>
              </w:rPr>
              <w:t>)</w:t>
            </w:r>
          </w:p>
        </w:tc>
      </w:tr>
      <w:tr w:rsidR="00E022E3" w:rsidRPr="009119A5" w14:paraId="77904682" w14:textId="77777777" w:rsidTr="009E54FE">
        <w:trPr>
          <w:trHeight w:val="288"/>
        </w:trPr>
        <w:tc>
          <w:tcPr>
            <w:tcW w:w="2790" w:type="dxa"/>
            <w:vAlign w:val="center"/>
          </w:tcPr>
          <w:p w14:paraId="28F6E94A" w14:textId="77777777" w:rsidR="00E022E3"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23608D8F" w14:textId="77777777" w:rsidR="00E022E3" w:rsidRDefault="00E022E3" w:rsidP="009E54FE">
            <w:pPr>
              <w:pStyle w:val="NoSpacing"/>
              <w:rPr>
                <w:rFonts w:asciiTheme="minorHAnsi" w:hAnsiTheme="minorHAnsi" w:cstheme="minorHAnsi"/>
                <w:sz w:val="18"/>
                <w:szCs w:val="18"/>
              </w:rPr>
            </w:pPr>
          </w:p>
        </w:tc>
        <w:tc>
          <w:tcPr>
            <w:tcW w:w="1530" w:type="dxa"/>
            <w:gridSpan w:val="3"/>
            <w:vAlign w:val="center"/>
          </w:tcPr>
          <w:p w14:paraId="4A2359FA" w14:textId="77777777" w:rsidR="00E022E3" w:rsidRDefault="00E022E3" w:rsidP="009E54FE">
            <w:pPr>
              <w:pStyle w:val="NoSpacing"/>
              <w:rPr>
                <w:rFonts w:asciiTheme="minorHAnsi" w:hAnsiTheme="minorHAnsi" w:cstheme="minorHAnsi"/>
                <w:sz w:val="18"/>
                <w:szCs w:val="18"/>
              </w:rPr>
            </w:pPr>
          </w:p>
        </w:tc>
        <w:tc>
          <w:tcPr>
            <w:tcW w:w="2340" w:type="dxa"/>
            <w:vAlign w:val="center"/>
          </w:tcPr>
          <w:p w14:paraId="493F9A0C" w14:textId="77777777" w:rsidR="00E022E3" w:rsidRDefault="00E022E3" w:rsidP="009E54FE">
            <w:pPr>
              <w:pStyle w:val="NoSpacing"/>
              <w:rPr>
                <w:rFonts w:asciiTheme="minorHAnsi" w:hAnsiTheme="minorHAnsi" w:cstheme="minorHAnsi"/>
                <w:sz w:val="18"/>
                <w:szCs w:val="18"/>
              </w:rPr>
            </w:pPr>
          </w:p>
        </w:tc>
        <w:tc>
          <w:tcPr>
            <w:tcW w:w="2250" w:type="dxa"/>
            <w:vAlign w:val="center"/>
          </w:tcPr>
          <w:p w14:paraId="28058A1D" w14:textId="77777777" w:rsidR="00E022E3" w:rsidRDefault="00E022E3" w:rsidP="009E54FE">
            <w:pPr>
              <w:pStyle w:val="NoSpacing"/>
              <w:rPr>
                <w:rFonts w:asciiTheme="minorHAnsi" w:hAnsiTheme="minorHAnsi" w:cstheme="minorHAnsi"/>
                <w:sz w:val="18"/>
                <w:szCs w:val="18"/>
              </w:rPr>
            </w:pPr>
          </w:p>
        </w:tc>
      </w:tr>
      <w:tr w:rsidR="00E022E3" w:rsidRPr="009119A5" w14:paraId="0B47909F" w14:textId="77777777" w:rsidTr="009E54FE">
        <w:trPr>
          <w:trHeight w:val="288"/>
        </w:trPr>
        <w:tc>
          <w:tcPr>
            <w:tcW w:w="2790" w:type="dxa"/>
            <w:vAlign w:val="center"/>
          </w:tcPr>
          <w:p w14:paraId="74EDF078"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672F268D" w14:textId="44BFFFDE"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33 (97.1%)</w:t>
            </w:r>
          </w:p>
        </w:tc>
        <w:tc>
          <w:tcPr>
            <w:tcW w:w="1530" w:type="dxa"/>
            <w:gridSpan w:val="3"/>
            <w:vAlign w:val="center"/>
          </w:tcPr>
          <w:p w14:paraId="16E6CBE9" w14:textId="7E75C25C"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 (2.9%)</w:t>
            </w:r>
          </w:p>
        </w:tc>
        <w:tc>
          <w:tcPr>
            <w:tcW w:w="2340" w:type="dxa"/>
            <w:vAlign w:val="center"/>
          </w:tcPr>
          <w:p w14:paraId="2F297792" w14:textId="6AA954DE"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0.30 (0.02-1.80, p=0.27)</w:t>
            </w:r>
          </w:p>
        </w:tc>
        <w:tc>
          <w:tcPr>
            <w:tcW w:w="2250" w:type="dxa"/>
            <w:vAlign w:val="center"/>
          </w:tcPr>
          <w:p w14:paraId="64DCF248" w14:textId="594ADFA4"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0.30 (0.01-2.03, p=0.2</w:t>
            </w:r>
            <w:r w:rsidR="00050E73">
              <w:rPr>
                <w:rFonts w:asciiTheme="minorHAnsi" w:hAnsiTheme="minorHAnsi" w:cstheme="minorHAnsi"/>
                <w:sz w:val="18"/>
                <w:szCs w:val="18"/>
              </w:rPr>
              <w:t>9</w:t>
            </w:r>
            <w:r>
              <w:rPr>
                <w:rFonts w:asciiTheme="minorHAnsi" w:hAnsiTheme="minorHAnsi" w:cstheme="minorHAnsi"/>
                <w:sz w:val="18"/>
                <w:szCs w:val="18"/>
              </w:rPr>
              <w:t>)</w:t>
            </w:r>
          </w:p>
        </w:tc>
      </w:tr>
      <w:tr w:rsidR="00E022E3" w:rsidRPr="009119A5" w14:paraId="36805B8E" w14:textId="77777777" w:rsidTr="009E54FE">
        <w:trPr>
          <w:trHeight w:val="288"/>
        </w:trPr>
        <w:tc>
          <w:tcPr>
            <w:tcW w:w="2790" w:type="dxa"/>
            <w:vAlign w:val="center"/>
          </w:tcPr>
          <w:p w14:paraId="5383DCC8" w14:textId="77777777" w:rsidR="00E022E3"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04B9C744" w14:textId="596FD756" w:rsidR="00E022E3"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7 (77.8%)</w:t>
            </w:r>
          </w:p>
        </w:tc>
        <w:tc>
          <w:tcPr>
            <w:tcW w:w="1530" w:type="dxa"/>
            <w:gridSpan w:val="3"/>
            <w:vAlign w:val="center"/>
          </w:tcPr>
          <w:p w14:paraId="661E30AD" w14:textId="7702C688" w:rsidR="00E022E3"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 (22.2%</w:t>
            </w:r>
          </w:p>
        </w:tc>
        <w:tc>
          <w:tcPr>
            <w:tcW w:w="2340" w:type="dxa"/>
            <w:vAlign w:val="center"/>
          </w:tcPr>
          <w:p w14:paraId="2F3E46CC" w14:textId="7D29C972" w:rsidR="00E022E3"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2.86 (0.38-14.93, p=0.24)</w:t>
            </w:r>
          </w:p>
        </w:tc>
        <w:tc>
          <w:tcPr>
            <w:tcW w:w="2250" w:type="dxa"/>
            <w:vAlign w:val="center"/>
          </w:tcPr>
          <w:p w14:paraId="032ED3CF" w14:textId="69B84D84" w:rsidR="00E022E3"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1.87 (0.14-15.38, p=0.5</w:t>
            </w:r>
            <w:r w:rsidR="00050E73">
              <w:rPr>
                <w:rFonts w:asciiTheme="minorHAnsi" w:hAnsiTheme="minorHAnsi" w:cstheme="minorHAnsi"/>
                <w:sz w:val="18"/>
                <w:szCs w:val="18"/>
              </w:rPr>
              <w:t>9</w:t>
            </w:r>
            <w:r>
              <w:rPr>
                <w:rFonts w:asciiTheme="minorHAnsi" w:hAnsiTheme="minorHAnsi" w:cstheme="minorHAnsi"/>
                <w:sz w:val="18"/>
                <w:szCs w:val="18"/>
              </w:rPr>
              <w:t>)</w:t>
            </w:r>
          </w:p>
        </w:tc>
      </w:tr>
      <w:tr w:rsidR="00E022E3" w:rsidRPr="009119A5" w14:paraId="4FFC87E4" w14:textId="77777777" w:rsidTr="009E54FE">
        <w:trPr>
          <w:trHeight w:val="288"/>
        </w:trPr>
        <w:tc>
          <w:tcPr>
            <w:tcW w:w="2790" w:type="dxa"/>
            <w:vAlign w:val="center"/>
          </w:tcPr>
          <w:p w14:paraId="754528A2"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7934BBB8" w14:textId="41A7E020"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278 (91.4%)</w:t>
            </w:r>
          </w:p>
        </w:tc>
        <w:tc>
          <w:tcPr>
            <w:tcW w:w="1530" w:type="dxa"/>
            <w:gridSpan w:val="3"/>
            <w:vAlign w:val="center"/>
          </w:tcPr>
          <w:p w14:paraId="77127F32" w14:textId="71401DB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26 (8.6%)</w:t>
            </w:r>
          </w:p>
        </w:tc>
        <w:tc>
          <w:tcPr>
            <w:tcW w:w="2340" w:type="dxa"/>
            <w:vAlign w:val="center"/>
          </w:tcPr>
          <w:p w14:paraId="1BA69D06" w14:textId="472223D5"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0.94 (0.41-2.42, p=0.88)</w:t>
            </w:r>
          </w:p>
        </w:tc>
        <w:tc>
          <w:tcPr>
            <w:tcW w:w="2250" w:type="dxa"/>
            <w:vAlign w:val="center"/>
          </w:tcPr>
          <w:p w14:paraId="61E2AC65" w14:textId="5E82A7C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1.15 (0.44-3.45, p=0.79)</w:t>
            </w:r>
          </w:p>
        </w:tc>
      </w:tr>
      <w:tr w:rsidR="00E022E3" w:rsidRPr="009119A5" w14:paraId="007A0FD4" w14:textId="77777777" w:rsidTr="009E54FE">
        <w:trPr>
          <w:trHeight w:val="288"/>
        </w:trPr>
        <w:tc>
          <w:tcPr>
            <w:tcW w:w="5220" w:type="dxa"/>
            <w:gridSpan w:val="4"/>
            <w:tcBorders>
              <w:right w:val="nil"/>
            </w:tcBorders>
            <w:vAlign w:val="center"/>
          </w:tcPr>
          <w:p w14:paraId="25F61091" w14:textId="4DBD6360"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Clinical Variables Alone</w:t>
            </w:r>
            <w:r w:rsidRPr="009119A5">
              <w:rPr>
                <w:rFonts w:asciiTheme="minorHAnsi" w:hAnsiTheme="minorHAnsi" w:cstheme="minorHAnsi"/>
                <w:sz w:val="18"/>
                <w:szCs w:val="18"/>
              </w:rPr>
              <w:t xml:space="preserve">, N = </w:t>
            </w:r>
            <w:r w:rsidR="00A501D7">
              <w:rPr>
                <w:rFonts w:asciiTheme="minorHAnsi" w:hAnsiTheme="minorHAnsi" w:cstheme="minorHAnsi"/>
                <w:sz w:val="18"/>
                <w:szCs w:val="18"/>
              </w:rPr>
              <w:t>414</w:t>
            </w:r>
          </w:p>
        </w:tc>
        <w:tc>
          <w:tcPr>
            <w:tcW w:w="5220" w:type="dxa"/>
            <w:gridSpan w:val="3"/>
            <w:tcBorders>
              <w:left w:val="nil"/>
            </w:tcBorders>
            <w:vAlign w:val="center"/>
          </w:tcPr>
          <w:p w14:paraId="6BE6633D" w14:textId="1432584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sidR="00A501D7">
              <w:rPr>
                <w:rFonts w:asciiTheme="minorHAnsi" w:hAnsiTheme="minorHAnsi" w:cstheme="minorHAnsi"/>
                <w:sz w:val="18"/>
                <w:szCs w:val="18"/>
              </w:rPr>
              <w:t xml:space="preserve"> 0.806</w:t>
            </w:r>
            <w:r w:rsidRPr="009119A5">
              <w:rPr>
                <w:rFonts w:asciiTheme="minorHAnsi" w:hAnsiTheme="minorHAnsi" w:cstheme="minorHAnsi"/>
                <w:sz w:val="18"/>
                <w:szCs w:val="18"/>
              </w:rPr>
              <w:t xml:space="preserve"> </w:t>
            </w:r>
          </w:p>
        </w:tc>
      </w:tr>
      <w:tr w:rsidR="00E022E3" w:rsidRPr="009119A5" w14:paraId="77D2DE9E" w14:textId="77777777" w:rsidTr="009E54FE">
        <w:trPr>
          <w:trHeight w:val="288"/>
        </w:trPr>
        <w:tc>
          <w:tcPr>
            <w:tcW w:w="2790" w:type="dxa"/>
            <w:vAlign w:val="center"/>
          </w:tcPr>
          <w:p w14:paraId="65BDE472" w14:textId="77777777" w:rsidR="00E022E3" w:rsidRPr="009119A5" w:rsidRDefault="00E022E3" w:rsidP="009E54FE">
            <w:pPr>
              <w:pStyle w:val="NoSpacing"/>
              <w:jc w:val="right"/>
              <w:rPr>
                <w:rFonts w:asciiTheme="minorHAnsi" w:hAnsiTheme="minorHAnsi" w:cstheme="minorHAnsi"/>
                <w:sz w:val="18"/>
                <w:szCs w:val="18"/>
              </w:rPr>
            </w:pPr>
          </w:p>
        </w:tc>
        <w:tc>
          <w:tcPr>
            <w:tcW w:w="1530" w:type="dxa"/>
            <w:vAlign w:val="center"/>
          </w:tcPr>
          <w:p w14:paraId="40F1DE9A"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19F5A28C"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2340" w:type="dxa"/>
            <w:vAlign w:val="center"/>
          </w:tcPr>
          <w:p w14:paraId="7F699E36"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Univariable OR (95% CI, p-value)</w:t>
            </w:r>
          </w:p>
        </w:tc>
        <w:tc>
          <w:tcPr>
            <w:tcW w:w="2250" w:type="dxa"/>
            <w:vAlign w:val="center"/>
          </w:tcPr>
          <w:p w14:paraId="11E77727" w14:textId="77777777"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E022E3" w:rsidRPr="009119A5" w14:paraId="3B0B6E78" w14:textId="77777777" w:rsidTr="009E54FE">
        <w:trPr>
          <w:trHeight w:val="288"/>
        </w:trPr>
        <w:tc>
          <w:tcPr>
            <w:tcW w:w="2790" w:type="dxa"/>
            <w:vAlign w:val="center"/>
          </w:tcPr>
          <w:p w14:paraId="6FB3503A"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4D19B296" w14:textId="19A6AF02"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 xml:space="preserve"> </w:t>
            </w:r>
            <w:r w:rsidR="00A501D7">
              <w:rPr>
                <w:rFonts w:asciiTheme="minorHAnsi" w:hAnsiTheme="minorHAnsi" w:cstheme="minorHAnsi"/>
                <w:sz w:val="18"/>
                <w:szCs w:val="18"/>
              </w:rPr>
              <w:t>62.5 (6.8)</w:t>
            </w:r>
          </w:p>
        </w:tc>
        <w:tc>
          <w:tcPr>
            <w:tcW w:w="1530" w:type="dxa"/>
            <w:gridSpan w:val="3"/>
            <w:vAlign w:val="center"/>
          </w:tcPr>
          <w:p w14:paraId="6DE50586" w14:textId="143DD57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66.3 (5.4)</w:t>
            </w:r>
          </w:p>
        </w:tc>
        <w:tc>
          <w:tcPr>
            <w:tcW w:w="2340" w:type="dxa"/>
            <w:vAlign w:val="center"/>
          </w:tcPr>
          <w:p w14:paraId="0611C824" w14:textId="4CA906D5" w:rsidR="00E022E3" w:rsidRPr="001A0AAD" w:rsidRDefault="00A501D7"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1.09 (1.04-1.16, p=0.002)</w:t>
            </w:r>
          </w:p>
        </w:tc>
        <w:tc>
          <w:tcPr>
            <w:tcW w:w="2250" w:type="dxa"/>
            <w:vAlign w:val="center"/>
          </w:tcPr>
          <w:p w14:paraId="7337B443" w14:textId="018D8F07" w:rsidR="00E022E3" w:rsidRPr="001A0AAD" w:rsidRDefault="00A501D7"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1.11 (1.04-1.19, p=0.002)</w:t>
            </w:r>
          </w:p>
        </w:tc>
      </w:tr>
      <w:tr w:rsidR="00E022E3" w:rsidRPr="009119A5" w14:paraId="01B0897B" w14:textId="77777777" w:rsidTr="009E54FE">
        <w:trPr>
          <w:trHeight w:val="288"/>
        </w:trPr>
        <w:tc>
          <w:tcPr>
            <w:tcW w:w="2790" w:type="dxa"/>
            <w:vAlign w:val="center"/>
          </w:tcPr>
          <w:p w14:paraId="4099BC73"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64DF4CDC" w14:textId="675C39BA"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29.4 (4.6)</w:t>
            </w:r>
          </w:p>
        </w:tc>
        <w:tc>
          <w:tcPr>
            <w:tcW w:w="1530" w:type="dxa"/>
            <w:gridSpan w:val="3"/>
            <w:vAlign w:val="center"/>
          </w:tcPr>
          <w:p w14:paraId="65947FE4" w14:textId="119DFE09"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29.9 (3.5)</w:t>
            </w:r>
          </w:p>
        </w:tc>
        <w:tc>
          <w:tcPr>
            <w:tcW w:w="2340" w:type="dxa"/>
            <w:vAlign w:val="center"/>
          </w:tcPr>
          <w:p w14:paraId="0CFB4438" w14:textId="0B8C0CA6"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1.02 (0.95-1.10, p=0.5</w:t>
            </w:r>
            <w:r w:rsidR="00050E73">
              <w:rPr>
                <w:rFonts w:asciiTheme="minorHAnsi" w:hAnsiTheme="minorHAnsi" w:cstheme="minorHAnsi"/>
                <w:sz w:val="18"/>
                <w:szCs w:val="18"/>
              </w:rPr>
              <w:t>3</w:t>
            </w:r>
            <w:r>
              <w:rPr>
                <w:rFonts w:asciiTheme="minorHAnsi" w:hAnsiTheme="minorHAnsi" w:cstheme="minorHAnsi"/>
                <w:sz w:val="18"/>
                <w:szCs w:val="18"/>
              </w:rPr>
              <w:t>)</w:t>
            </w:r>
          </w:p>
        </w:tc>
        <w:tc>
          <w:tcPr>
            <w:tcW w:w="2250" w:type="dxa"/>
            <w:vAlign w:val="center"/>
          </w:tcPr>
          <w:p w14:paraId="1E74CB86" w14:textId="6B77FF3A"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1.01 (0.93-1.10, p=0.7</w:t>
            </w:r>
            <w:r w:rsidR="00050E73">
              <w:rPr>
                <w:rFonts w:asciiTheme="minorHAnsi" w:hAnsiTheme="minorHAnsi" w:cstheme="minorHAnsi"/>
                <w:sz w:val="18"/>
                <w:szCs w:val="18"/>
              </w:rPr>
              <w:t>5</w:t>
            </w:r>
            <w:r>
              <w:rPr>
                <w:rFonts w:asciiTheme="minorHAnsi" w:hAnsiTheme="minorHAnsi" w:cstheme="minorHAnsi"/>
                <w:sz w:val="18"/>
                <w:szCs w:val="18"/>
              </w:rPr>
              <w:t>)</w:t>
            </w:r>
          </w:p>
        </w:tc>
      </w:tr>
      <w:tr w:rsidR="00E022E3" w:rsidRPr="009119A5" w14:paraId="2945C828" w14:textId="77777777" w:rsidTr="009E54FE">
        <w:trPr>
          <w:trHeight w:val="288"/>
        </w:trPr>
        <w:tc>
          <w:tcPr>
            <w:tcW w:w="2790" w:type="dxa"/>
            <w:vAlign w:val="center"/>
          </w:tcPr>
          <w:p w14:paraId="6C96F731"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769605E4" w14:textId="1F765E44"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8.9 (9.6)</w:t>
            </w:r>
          </w:p>
        </w:tc>
        <w:tc>
          <w:tcPr>
            <w:tcW w:w="1530" w:type="dxa"/>
            <w:gridSpan w:val="3"/>
            <w:vAlign w:val="center"/>
          </w:tcPr>
          <w:p w14:paraId="746CECBE" w14:textId="11A6ACB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8.8 (6.3)</w:t>
            </w:r>
          </w:p>
        </w:tc>
        <w:tc>
          <w:tcPr>
            <w:tcW w:w="2340" w:type="dxa"/>
            <w:vAlign w:val="center"/>
          </w:tcPr>
          <w:p w14:paraId="11C32B0A" w14:textId="16CDE65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1.00 (0.95-1.03, p=0.98)</w:t>
            </w:r>
          </w:p>
        </w:tc>
        <w:tc>
          <w:tcPr>
            <w:tcW w:w="2250" w:type="dxa"/>
            <w:vAlign w:val="center"/>
          </w:tcPr>
          <w:p w14:paraId="0756D569" w14:textId="75874A6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1.00 (0.94-1.04, p=0.96)</w:t>
            </w:r>
          </w:p>
        </w:tc>
      </w:tr>
      <w:tr w:rsidR="00E022E3" w:rsidRPr="009119A5" w14:paraId="2F97C652" w14:textId="77777777" w:rsidTr="009E54FE">
        <w:trPr>
          <w:trHeight w:val="288"/>
        </w:trPr>
        <w:tc>
          <w:tcPr>
            <w:tcW w:w="2790" w:type="dxa"/>
            <w:vAlign w:val="center"/>
          </w:tcPr>
          <w:p w14:paraId="751C640B"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5D36FF11" w14:textId="0FD77FD5"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92.2 (12.1)</w:t>
            </w:r>
          </w:p>
        </w:tc>
        <w:tc>
          <w:tcPr>
            <w:tcW w:w="1530" w:type="dxa"/>
            <w:gridSpan w:val="3"/>
            <w:vAlign w:val="center"/>
          </w:tcPr>
          <w:p w14:paraId="21E41FCC" w14:textId="4C86CCA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81.3 (19.6)</w:t>
            </w:r>
          </w:p>
        </w:tc>
        <w:tc>
          <w:tcPr>
            <w:tcW w:w="2340" w:type="dxa"/>
            <w:vAlign w:val="center"/>
          </w:tcPr>
          <w:p w14:paraId="47A488CF" w14:textId="26C041A2" w:rsidR="00E022E3" w:rsidRPr="001A0AAD" w:rsidRDefault="00A501D7"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0.96 (0.94-0.98, p&lt;0.001)</w:t>
            </w:r>
          </w:p>
        </w:tc>
        <w:tc>
          <w:tcPr>
            <w:tcW w:w="2250" w:type="dxa"/>
            <w:vAlign w:val="center"/>
          </w:tcPr>
          <w:p w14:paraId="0E2153C8" w14:textId="26AAEA4C" w:rsidR="00E022E3" w:rsidRPr="001A0AAD" w:rsidRDefault="00A501D7" w:rsidP="009E54FE">
            <w:pPr>
              <w:pStyle w:val="NoSpacing"/>
              <w:rPr>
                <w:rFonts w:asciiTheme="minorHAnsi" w:hAnsiTheme="minorHAnsi" w:cstheme="minorHAnsi"/>
                <w:sz w:val="18"/>
                <w:szCs w:val="18"/>
                <w:highlight w:val="yellow"/>
              </w:rPr>
            </w:pPr>
            <w:r>
              <w:rPr>
                <w:rFonts w:asciiTheme="minorHAnsi" w:hAnsiTheme="minorHAnsi" w:cstheme="minorHAnsi"/>
                <w:sz w:val="18"/>
                <w:szCs w:val="18"/>
                <w:highlight w:val="yellow"/>
              </w:rPr>
              <w:t>0.95 (0.93-0.98, p&lt;0.001)</w:t>
            </w:r>
          </w:p>
        </w:tc>
      </w:tr>
      <w:tr w:rsidR="00E022E3" w:rsidRPr="009119A5" w14:paraId="45988C8F" w14:textId="77777777" w:rsidTr="009E54FE">
        <w:trPr>
          <w:trHeight w:val="288"/>
        </w:trPr>
        <w:tc>
          <w:tcPr>
            <w:tcW w:w="2790" w:type="dxa"/>
            <w:vAlign w:val="center"/>
          </w:tcPr>
          <w:p w14:paraId="6CA00723"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523EB144" w14:textId="57CE4833"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68.2 (30.2)</w:t>
            </w:r>
          </w:p>
        </w:tc>
        <w:tc>
          <w:tcPr>
            <w:tcW w:w="1530" w:type="dxa"/>
            <w:gridSpan w:val="3"/>
            <w:vAlign w:val="center"/>
          </w:tcPr>
          <w:p w14:paraId="4A2358BE" w14:textId="6601E07B"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60.3 (25.5)</w:t>
            </w:r>
          </w:p>
        </w:tc>
        <w:tc>
          <w:tcPr>
            <w:tcW w:w="2340" w:type="dxa"/>
            <w:vAlign w:val="center"/>
          </w:tcPr>
          <w:p w14:paraId="49103F19" w14:textId="0DCFB109"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0.99 (0.98-1.00, p=0.1</w:t>
            </w:r>
            <w:r w:rsidR="00050E73">
              <w:rPr>
                <w:rFonts w:asciiTheme="minorHAnsi" w:hAnsiTheme="minorHAnsi" w:cstheme="minorHAnsi"/>
                <w:sz w:val="18"/>
                <w:szCs w:val="18"/>
              </w:rPr>
              <w:t>3</w:t>
            </w:r>
            <w:r>
              <w:rPr>
                <w:rFonts w:asciiTheme="minorHAnsi" w:hAnsiTheme="minorHAnsi" w:cstheme="minorHAnsi"/>
                <w:sz w:val="18"/>
                <w:szCs w:val="18"/>
              </w:rPr>
              <w:t>)</w:t>
            </w:r>
          </w:p>
        </w:tc>
        <w:tc>
          <w:tcPr>
            <w:tcW w:w="2250" w:type="dxa"/>
            <w:vAlign w:val="center"/>
          </w:tcPr>
          <w:p w14:paraId="0F518644" w14:textId="544A7FF6"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1.00 (0.99-1.01, p=0.9</w:t>
            </w:r>
            <w:r w:rsidR="00050E73">
              <w:rPr>
                <w:rFonts w:asciiTheme="minorHAnsi" w:hAnsiTheme="minorHAnsi" w:cstheme="minorHAnsi"/>
                <w:sz w:val="18"/>
                <w:szCs w:val="18"/>
              </w:rPr>
              <w:t>6</w:t>
            </w:r>
            <w:r>
              <w:rPr>
                <w:rFonts w:asciiTheme="minorHAnsi" w:hAnsiTheme="minorHAnsi" w:cstheme="minorHAnsi"/>
                <w:sz w:val="18"/>
                <w:szCs w:val="18"/>
              </w:rPr>
              <w:t>)</w:t>
            </w:r>
          </w:p>
        </w:tc>
      </w:tr>
      <w:tr w:rsidR="00E022E3" w:rsidRPr="009119A5" w14:paraId="79506326" w14:textId="77777777" w:rsidTr="009E54FE">
        <w:trPr>
          <w:trHeight w:val="288"/>
        </w:trPr>
        <w:tc>
          <w:tcPr>
            <w:tcW w:w="2790" w:type="dxa"/>
            <w:vAlign w:val="center"/>
          </w:tcPr>
          <w:p w14:paraId="08552A16"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463C4331" w14:textId="07484862"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139 (87.4%)</w:t>
            </w:r>
          </w:p>
        </w:tc>
        <w:tc>
          <w:tcPr>
            <w:tcW w:w="1530" w:type="dxa"/>
            <w:gridSpan w:val="3"/>
            <w:vAlign w:val="center"/>
          </w:tcPr>
          <w:p w14:paraId="10EA874B" w14:textId="33C35E61"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20 (12.6%)</w:t>
            </w:r>
          </w:p>
        </w:tc>
        <w:tc>
          <w:tcPr>
            <w:tcW w:w="2340" w:type="dxa"/>
            <w:vAlign w:val="center"/>
          </w:tcPr>
          <w:p w14:paraId="10550F95" w14:textId="1ABFAF98"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1.66 (0.70-4.40, p=0.2</w:t>
            </w:r>
            <w:r w:rsidR="00050E73">
              <w:rPr>
                <w:rFonts w:asciiTheme="minorHAnsi" w:hAnsiTheme="minorHAnsi" w:cstheme="minorHAnsi"/>
                <w:sz w:val="18"/>
                <w:szCs w:val="18"/>
              </w:rPr>
              <w:t>7</w:t>
            </w:r>
            <w:r>
              <w:rPr>
                <w:rFonts w:asciiTheme="minorHAnsi" w:hAnsiTheme="minorHAnsi" w:cstheme="minorHAnsi"/>
                <w:sz w:val="18"/>
                <w:szCs w:val="18"/>
              </w:rPr>
              <w:t>)</w:t>
            </w:r>
          </w:p>
        </w:tc>
        <w:tc>
          <w:tcPr>
            <w:tcW w:w="2250" w:type="dxa"/>
            <w:vAlign w:val="center"/>
          </w:tcPr>
          <w:p w14:paraId="2A43779C" w14:textId="033528F9"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1.99 (0.77-5.76, p=0.1</w:t>
            </w:r>
            <w:r w:rsidR="00050E73">
              <w:rPr>
                <w:rFonts w:asciiTheme="minorHAnsi" w:hAnsiTheme="minorHAnsi" w:cstheme="minorHAnsi"/>
                <w:sz w:val="18"/>
                <w:szCs w:val="18"/>
              </w:rPr>
              <w:t>8</w:t>
            </w:r>
            <w:r>
              <w:rPr>
                <w:rFonts w:asciiTheme="minorHAnsi" w:hAnsiTheme="minorHAnsi" w:cstheme="minorHAnsi"/>
                <w:sz w:val="18"/>
                <w:szCs w:val="18"/>
              </w:rPr>
              <w:t>)</w:t>
            </w:r>
          </w:p>
        </w:tc>
      </w:tr>
      <w:tr w:rsidR="00E022E3" w:rsidRPr="009119A5" w14:paraId="10FCE392" w14:textId="77777777" w:rsidTr="009E54FE">
        <w:trPr>
          <w:trHeight w:val="288"/>
        </w:trPr>
        <w:tc>
          <w:tcPr>
            <w:tcW w:w="2790" w:type="dxa"/>
            <w:vAlign w:val="center"/>
          </w:tcPr>
          <w:p w14:paraId="1BF8B3F3"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2F1C3098" w14:textId="1CC6AFC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75 (91.5%)</w:t>
            </w:r>
          </w:p>
        </w:tc>
        <w:tc>
          <w:tcPr>
            <w:tcW w:w="1530" w:type="dxa"/>
            <w:gridSpan w:val="3"/>
            <w:vAlign w:val="center"/>
          </w:tcPr>
          <w:p w14:paraId="6780FD59" w14:textId="37D47BC2"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7 (8.5%)</w:t>
            </w:r>
          </w:p>
        </w:tc>
        <w:tc>
          <w:tcPr>
            <w:tcW w:w="2340" w:type="dxa"/>
            <w:vAlign w:val="center"/>
          </w:tcPr>
          <w:p w14:paraId="5A844022" w14:textId="46C02BBE"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1.08 (0.35-3.29, p=0.89)</w:t>
            </w:r>
          </w:p>
        </w:tc>
        <w:tc>
          <w:tcPr>
            <w:tcW w:w="2250" w:type="dxa"/>
            <w:vAlign w:val="center"/>
          </w:tcPr>
          <w:p w14:paraId="1E9D3B69" w14:textId="3AD545D3"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0.94 (0.27-3.22, p=0.9</w:t>
            </w:r>
            <w:r w:rsidR="00050E73">
              <w:rPr>
                <w:rFonts w:asciiTheme="minorHAnsi" w:hAnsiTheme="minorHAnsi" w:cstheme="minorHAnsi"/>
                <w:sz w:val="18"/>
                <w:szCs w:val="18"/>
              </w:rPr>
              <w:t>2</w:t>
            </w:r>
            <w:r>
              <w:rPr>
                <w:rFonts w:asciiTheme="minorHAnsi" w:hAnsiTheme="minorHAnsi" w:cstheme="minorHAnsi"/>
                <w:sz w:val="18"/>
                <w:szCs w:val="18"/>
              </w:rPr>
              <w:t>)</w:t>
            </w:r>
          </w:p>
        </w:tc>
      </w:tr>
      <w:tr w:rsidR="00E022E3" w:rsidRPr="009119A5" w14:paraId="3DE753E6" w14:textId="77777777" w:rsidTr="009E54FE">
        <w:trPr>
          <w:trHeight w:val="288"/>
        </w:trPr>
        <w:tc>
          <w:tcPr>
            <w:tcW w:w="2790" w:type="dxa"/>
            <w:vAlign w:val="center"/>
          </w:tcPr>
          <w:p w14:paraId="50B302E6" w14:textId="77777777" w:rsidR="00E022E3" w:rsidRPr="009119A5"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7E83077E" w14:textId="7359ABE3"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36 (97.3%)</w:t>
            </w:r>
          </w:p>
        </w:tc>
        <w:tc>
          <w:tcPr>
            <w:tcW w:w="1530" w:type="dxa"/>
            <w:gridSpan w:val="3"/>
            <w:vAlign w:val="center"/>
          </w:tcPr>
          <w:p w14:paraId="03C37A18" w14:textId="26B1A9E4"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1 (2.7%)</w:t>
            </w:r>
          </w:p>
        </w:tc>
        <w:tc>
          <w:tcPr>
            <w:tcW w:w="2340" w:type="dxa"/>
            <w:vAlign w:val="center"/>
          </w:tcPr>
          <w:p w14:paraId="7D2F8E02" w14:textId="50622847"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0.32 (0.02-1.90, p=0.</w:t>
            </w:r>
            <w:r w:rsidR="00050E73">
              <w:rPr>
                <w:rFonts w:asciiTheme="minorHAnsi" w:hAnsiTheme="minorHAnsi" w:cstheme="minorHAnsi"/>
                <w:sz w:val="18"/>
                <w:szCs w:val="18"/>
              </w:rPr>
              <w:t>30</w:t>
            </w:r>
            <w:r>
              <w:rPr>
                <w:rFonts w:asciiTheme="minorHAnsi" w:hAnsiTheme="minorHAnsi" w:cstheme="minorHAnsi"/>
                <w:sz w:val="18"/>
                <w:szCs w:val="18"/>
              </w:rPr>
              <w:t>)</w:t>
            </w:r>
          </w:p>
        </w:tc>
        <w:tc>
          <w:tcPr>
            <w:tcW w:w="2250" w:type="dxa"/>
            <w:vAlign w:val="center"/>
          </w:tcPr>
          <w:p w14:paraId="2467D1C6" w14:textId="22E4934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0.19 (0.01-1.32, p=0.15)</w:t>
            </w:r>
          </w:p>
        </w:tc>
      </w:tr>
      <w:tr w:rsidR="00E022E3" w:rsidRPr="009119A5" w14:paraId="4EED5E0D" w14:textId="77777777" w:rsidTr="009E54FE">
        <w:trPr>
          <w:trHeight w:val="288"/>
        </w:trPr>
        <w:tc>
          <w:tcPr>
            <w:tcW w:w="2790" w:type="dxa"/>
            <w:vAlign w:val="center"/>
          </w:tcPr>
          <w:p w14:paraId="6E8A7685" w14:textId="77777777" w:rsidR="00E022E3" w:rsidRDefault="00E022E3" w:rsidP="009E54FE">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50F1AF98" w14:textId="59A840FE"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57 (96.6)</w:t>
            </w:r>
          </w:p>
        </w:tc>
        <w:tc>
          <w:tcPr>
            <w:tcW w:w="1530" w:type="dxa"/>
            <w:gridSpan w:val="3"/>
            <w:vAlign w:val="center"/>
          </w:tcPr>
          <w:p w14:paraId="62EA4DFB" w14:textId="67774BA0"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2 (3.4)</w:t>
            </w:r>
          </w:p>
        </w:tc>
        <w:tc>
          <w:tcPr>
            <w:tcW w:w="2340" w:type="dxa"/>
            <w:vAlign w:val="center"/>
          </w:tcPr>
          <w:p w14:paraId="51BE8860" w14:textId="60AFFC90"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0.41 (0.06-1.75, p=0.27)</w:t>
            </w:r>
          </w:p>
        </w:tc>
        <w:tc>
          <w:tcPr>
            <w:tcW w:w="2250" w:type="dxa"/>
            <w:vAlign w:val="center"/>
          </w:tcPr>
          <w:p w14:paraId="15829DD3" w14:textId="7AF5659F" w:rsidR="00E022E3" w:rsidRPr="009119A5" w:rsidRDefault="00A501D7" w:rsidP="009E54FE">
            <w:pPr>
              <w:pStyle w:val="NoSpacing"/>
              <w:rPr>
                <w:rFonts w:asciiTheme="minorHAnsi" w:hAnsiTheme="minorHAnsi" w:cstheme="minorHAnsi"/>
                <w:sz w:val="18"/>
                <w:szCs w:val="18"/>
              </w:rPr>
            </w:pPr>
            <w:r>
              <w:rPr>
                <w:rFonts w:asciiTheme="minorHAnsi" w:hAnsiTheme="minorHAnsi" w:cstheme="minorHAnsi"/>
                <w:sz w:val="18"/>
                <w:szCs w:val="18"/>
              </w:rPr>
              <w:t>0.25 (0.03-1.31, p=0.1</w:t>
            </w:r>
            <w:r w:rsidR="00050E73">
              <w:rPr>
                <w:rFonts w:asciiTheme="minorHAnsi" w:hAnsiTheme="minorHAnsi" w:cstheme="minorHAnsi"/>
                <w:sz w:val="18"/>
                <w:szCs w:val="18"/>
              </w:rPr>
              <w:t>4</w:t>
            </w:r>
            <w:r>
              <w:rPr>
                <w:rFonts w:asciiTheme="minorHAnsi" w:hAnsiTheme="minorHAnsi" w:cstheme="minorHAnsi"/>
                <w:sz w:val="18"/>
                <w:szCs w:val="18"/>
              </w:rPr>
              <w:t>)</w:t>
            </w:r>
          </w:p>
        </w:tc>
      </w:tr>
      <w:tr w:rsidR="00E022E3" w:rsidRPr="009119A5" w14:paraId="78D50327" w14:textId="77777777" w:rsidTr="009E54FE">
        <w:trPr>
          <w:trHeight w:val="288"/>
        </w:trPr>
        <w:tc>
          <w:tcPr>
            <w:tcW w:w="5130" w:type="dxa"/>
            <w:gridSpan w:val="3"/>
            <w:tcBorders>
              <w:right w:val="nil"/>
            </w:tcBorders>
            <w:vAlign w:val="center"/>
          </w:tcPr>
          <w:p w14:paraId="033DED9F" w14:textId="7FE46C22" w:rsidR="00E022E3" w:rsidRPr="009119A5" w:rsidRDefault="00E022E3" w:rsidP="009E54FE">
            <w:pPr>
              <w:pStyle w:val="NoSpacing"/>
              <w:rPr>
                <w:rFonts w:asciiTheme="minorHAnsi" w:hAnsiTheme="minorHAnsi" w:cstheme="minorHAnsi"/>
                <w:sz w:val="18"/>
                <w:szCs w:val="18"/>
              </w:rPr>
            </w:pPr>
            <w:r w:rsidRPr="009119A5">
              <w:rPr>
                <w:rFonts w:asciiTheme="minorHAnsi" w:hAnsiTheme="minorHAnsi" w:cstheme="minorHAnsi"/>
                <w:b/>
                <w:sz w:val="18"/>
                <w:szCs w:val="18"/>
              </w:rPr>
              <w:t>MRI + Clinical Variables</w:t>
            </w:r>
            <w:r w:rsidRPr="009119A5">
              <w:rPr>
                <w:rFonts w:asciiTheme="minorHAnsi" w:hAnsiTheme="minorHAnsi" w:cstheme="minorHAnsi"/>
                <w:sz w:val="18"/>
                <w:szCs w:val="18"/>
              </w:rPr>
              <w:t>, N =</w:t>
            </w:r>
            <w:r w:rsidR="00A501D7">
              <w:rPr>
                <w:rFonts w:asciiTheme="minorHAnsi" w:hAnsiTheme="minorHAnsi" w:cstheme="minorHAnsi"/>
                <w:sz w:val="18"/>
                <w:szCs w:val="18"/>
              </w:rPr>
              <w:t xml:space="preserve"> 369</w:t>
            </w:r>
          </w:p>
        </w:tc>
        <w:tc>
          <w:tcPr>
            <w:tcW w:w="5310" w:type="dxa"/>
            <w:gridSpan w:val="4"/>
            <w:tcBorders>
              <w:left w:val="nil"/>
            </w:tcBorders>
            <w:vAlign w:val="center"/>
          </w:tcPr>
          <w:p w14:paraId="79D19884" w14:textId="2821C448"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C-statistic =</w:t>
            </w:r>
            <w:r w:rsidR="00A501D7">
              <w:rPr>
                <w:rFonts w:asciiTheme="minorHAnsi" w:hAnsiTheme="minorHAnsi" w:cstheme="minorHAnsi"/>
                <w:sz w:val="18"/>
                <w:szCs w:val="18"/>
              </w:rPr>
              <w:t xml:space="preserve"> 0.824</w:t>
            </w:r>
            <w:r w:rsidRPr="009119A5">
              <w:rPr>
                <w:rFonts w:asciiTheme="minorHAnsi" w:hAnsiTheme="minorHAnsi" w:cstheme="minorHAnsi"/>
                <w:sz w:val="18"/>
                <w:szCs w:val="18"/>
              </w:rPr>
              <w:t xml:space="preserve"> </w:t>
            </w:r>
          </w:p>
        </w:tc>
      </w:tr>
      <w:tr w:rsidR="00E022E3" w:rsidRPr="009119A5" w14:paraId="300384C7" w14:textId="77777777" w:rsidTr="009E54FE">
        <w:trPr>
          <w:trHeight w:val="288"/>
        </w:trPr>
        <w:tc>
          <w:tcPr>
            <w:tcW w:w="2790" w:type="dxa"/>
            <w:vAlign w:val="center"/>
          </w:tcPr>
          <w:p w14:paraId="1EE6E209" w14:textId="77777777" w:rsidR="00E022E3" w:rsidRPr="009119A5" w:rsidRDefault="00E022E3" w:rsidP="009E54FE">
            <w:pPr>
              <w:pStyle w:val="NoSpacing"/>
              <w:rPr>
                <w:rFonts w:asciiTheme="minorHAnsi" w:hAnsiTheme="minorHAnsi" w:cstheme="minorHAnsi"/>
                <w:sz w:val="18"/>
                <w:szCs w:val="18"/>
              </w:rPr>
            </w:pPr>
          </w:p>
        </w:tc>
        <w:tc>
          <w:tcPr>
            <w:tcW w:w="1530" w:type="dxa"/>
            <w:vAlign w:val="center"/>
          </w:tcPr>
          <w:p w14:paraId="1A7A3848" w14:textId="77777777" w:rsidR="00E022E3" w:rsidRPr="009119A5" w:rsidRDefault="00E022E3" w:rsidP="009E54FE">
            <w:pPr>
              <w:pStyle w:val="NoSpacing"/>
              <w:rPr>
                <w:rFonts w:asciiTheme="minorHAnsi" w:hAnsiTheme="minorHAnsi" w:cstheme="minorHAnsi"/>
                <w:sz w:val="18"/>
                <w:szCs w:val="18"/>
              </w:rPr>
            </w:pPr>
            <w:proofErr w:type="gramStart"/>
            <w:r>
              <w:rPr>
                <w:rFonts w:asciiTheme="minorHAnsi" w:hAnsiTheme="minorHAnsi" w:cstheme="minorHAnsi"/>
                <w:sz w:val="18"/>
                <w:szCs w:val="18"/>
              </w:rPr>
              <w:t>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w:t>
            </w:r>
            <w:r>
              <w:rPr>
                <w:rFonts w:asciiTheme="minorHAnsi" w:hAnsiTheme="minorHAnsi" w:cstheme="minorHAnsi"/>
                <w:sz w:val="18"/>
                <w:szCs w:val="18"/>
              </w:rPr>
              <w:t xml:space="preserve">  </w:t>
            </w:r>
            <w:proofErr w:type="gramEnd"/>
            <w:r>
              <w:rPr>
                <w:rFonts w:asciiTheme="minorHAnsi" w:hAnsiTheme="minorHAnsi" w:cstheme="minorHAnsi"/>
                <w:sz w:val="18"/>
                <w:szCs w:val="18"/>
              </w:rPr>
              <w:t xml:space="preserve"> </w:t>
            </w:r>
            <w:r w:rsidRPr="009119A5">
              <w:rPr>
                <w:rFonts w:asciiTheme="minorHAnsi" w:hAnsiTheme="minorHAnsi" w:cstheme="minorHAnsi"/>
                <w:sz w:val="18"/>
                <w:szCs w:val="18"/>
              </w:rPr>
              <w:t>mean (SD)</w:t>
            </w:r>
            <w:r>
              <w:rPr>
                <w:rFonts w:asciiTheme="minorHAnsi" w:hAnsiTheme="minorHAnsi" w:cstheme="minorHAnsi"/>
                <w:sz w:val="18"/>
                <w:szCs w:val="18"/>
              </w:rPr>
              <w:t xml:space="preserve"> / # (%)</w:t>
            </w:r>
          </w:p>
        </w:tc>
        <w:tc>
          <w:tcPr>
            <w:tcW w:w="1530" w:type="dxa"/>
            <w:gridSpan w:val="3"/>
            <w:vAlign w:val="center"/>
          </w:tcPr>
          <w:p w14:paraId="5DCDE0CB" w14:textId="77777777" w:rsidR="00E022E3" w:rsidRPr="009119A5" w:rsidRDefault="00E022E3" w:rsidP="009E54FE">
            <w:pPr>
              <w:pStyle w:val="NoSpacing"/>
              <w:rPr>
                <w:rFonts w:asciiTheme="minorHAnsi" w:hAnsiTheme="minorHAnsi" w:cstheme="minorHAnsi"/>
                <w:sz w:val="18"/>
                <w:szCs w:val="18"/>
              </w:rPr>
            </w:pPr>
            <w:r>
              <w:rPr>
                <w:rFonts w:asciiTheme="minorHAnsi" w:hAnsiTheme="minorHAnsi" w:cstheme="minorHAnsi"/>
                <w:sz w:val="18"/>
                <w:szCs w:val="18"/>
              </w:rPr>
              <w:t>Inc</w:t>
            </w:r>
            <w:r w:rsidRPr="009119A5">
              <w:rPr>
                <w:rFonts w:asciiTheme="minorHAnsi" w:hAnsiTheme="minorHAnsi" w:cstheme="minorHAnsi"/>
                <w:sz w:val="18"/>
                <w:szCs w:val="18"/>
              </w:rPr>
              <w:t>ontinent</w:t>
            </w:r>
            <w:r>
              <w:rPr>
                <w:rFonts w:asciiTheme="minorHAnsi" w:hAnsiTheme="minorHAnsi" w:cstheme="minorHAnsi"/>
                <w:sz w:val="18"/>
                <w:szCs w:val="18"/>
              </w:rPr>
              <w:t>,</w:t>
            </w:r>
            <w:r w:rsidRPr="009119A5">
              <w:rPr>
                <w:rFonts w:asciiTheme="minorHAnsi" w:hAnsiTheme="minorHAnsi" w:cstheme="minorHAnsi"/>
                <w:sz w:val="18"/>
                <w:szCs w:val="18"/>
              </w:rPr>
              <w:t xml:space="preserve"> mean (SD)</w:t>
            </w:r>
            <w:r>
              <w:rPr>
                <w:rFonts w:asciiTheme="minorHAnsi" w:hAnsiTheme="minorHAnsi" w:cstheme="minorHAnsi"/>
                <w:sz w:val="18"/>
                <w:szCs w:val="18"/>
              </w:rPr>
              <w:t xml:space="preserve"> / # (%)</w:t>
            </w:r>
          </w:p>
        </w:tc>
        <w:tc>
          <w:tcPr>
            <w:tcW w:w="4590" w:type="dxa"/>
            <w:gridSpan w:val="2"/>
            <w:vAlign w:val="center"/>
          </w:tcPr>
          <w:p w14:paraId="3E35C641" w14:textId="77777777" w:rsidR="00E022E3" w:rsidRPr="009119A5" w:rsidRDefault="00E022E3" w:rsidP="009E54FE">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Multivariable OR (95% CI, p-value) </w:t>
            </w:r>
          </w:p>
        </w:tc>
      </w:tr>
      <w:tr w:rsidR="00A501D7" w:rsidRPr="009119A5" w14:paraId="03DF573E" w14:textId="77777777" w:rsidTr="009E54FE">
        <w:trPr>
          <w:trHeight w:val="288"/>
        </w:trPr>
        <w:tc>
          <w:tcPr>
            <w:tcW w:w="2790" w:type="dxa"/>
            <w:vAlign w:val="center"/>
          </w:tcPr>
          <w:p w14:paraId="1209A5FB"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Age </w:t>
            </w:r>
          </w:p>
        </w:tc>
        <w:tc>
          <w:tcPr>
            <w:tcW w:w="1530" w:type="dxa"/>
            <w:vAlign w:val="center"/>
          </w:tcPr>
          <w:p w14:paraId="17313FF0" w14:textId="2435186E"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 xml:space="preserve"> 62.5 (6.8)</w:t>
            </w:r>
          </w:p>
        </w:tc>
        <w:tc>
          <w:tcPr>
            <w:tcW w:w="1530" w:type="dxa"/>
            <w:gridSpan w:val="3"/>
            <w:vAlign w:val="center"/>
          </w:tcPr>
          <w:p w14:paraId="576EA50A" w14:textId="23F6FF6A"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66.3 (5.4)</w:t>
            </w:r>
          </w:p>
        </w:tc>
        <w:tc>
          <w:tcPr>
            <w:tcW w:w="4590" w:type="dxa"/>
            <w:gridSpan w:val="2"/>
            <w:vAlign w:val="center"/>
          </w:tcPr>
          <w:p w14:paraId="4ABE5C14" w14:textId="1A6041A2" w:rsidR="00A501D7" w:rsidRPr="009119A5" w:rsidRDefault="00A501D7" w:rsidP="00A501D7">
            <w:pPr>
              <w:pStyle w:val="NoSpacing"/>
              <w:jc w:val="right"/>
              <w:rPr>
                <w:rFonts w:asciiTheme="minorHAnsi" w:hAnsiTheme="minorHAnsi" w:cstheme="minorHAnsi"/>
                <w:sz w:val="18"/>
                <w:szCs w:val="18"/>
              </w:rPr>
            </w:pPr>
            <w:r w:rsidRPr="004A008C">
              <w:rPr>
                <w:rFonts w:asciiTheme="minorHAnsi" w:hAnsiTheme="minorHAnsi" w:cstheme="minorHAnsi"/>
                <w:sz w:val="18"/>
                <w:szCs w:val="18"/>
                <w:highlight w:val="yellow"/>
              </w:rPr>
              <w:t>1.12 (1.03-1.22, p=0.008)</w:t>
            </w:r>
          </w:p>
        </w:tc>
      </w:tr>
      <w:tr w:rsidR="00A501D7" w:rsidRPr="009119A5" w14:paraId="2DD4025C" w14:textId="77777777" w:rsidTr="009E54FE">
        <w:trPr>
          <w:trHeight w:val="288"/>
        </w:trPr>
        <w:tc>
          <w:tcPr>
            <w:tcW w:w="2790" w:type="dxa"/>
            <w:vAlign w:val="center"/>
          </w:tcPr>
          <w:p w14:paraId="2A228F2F"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BMI</w:t>
            </w:r>
          </w:p>
        </w:tc>
        <w:tc>
          <w:tcPr>
            <w:tcW w:w="1530" w:type="dxa"/>
            <w:vAlign w:val="center"/>
          </w:tcPr>
          <w:p w14:paraId="0ADBD79E" w14:textId="55B15BF9"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29.4 (4.6)</w:t>
            </w:r>
          </w:p>
        </w:tc>
        <w:tc>
          <w:tcPr>
            <w:tcW w:w="1530" w:type="dxa"/>
            <w:gridSpan w:val="3"/>
            <w:vAlign w:val="center"/>
          </w:tcPr>
          <w:p w14:paraId="2EEB7E33" w14:textId="102250D4"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29.9 (3.5)</w:t>
            </w:r>
          </w:p>
        </w:tc>
        <w:tc>
          <w:tcPr>
            <w:tcW w:w="4590" w:type="dxa"/>
            <w:gridSpan w:val="2"/>
            <w:vAlign w:val="center"/>
          </w:tcPr>
          <w:p w14:paraId="1B552E0A" w14:textId="0438738D"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1.03 (0.93-1.13, p=0.6</w:t>
            </w:r>
            <w:r w:rsidR="00050E73">
              <w:rPr>
                <w:rFonts w:asciiTheme="minorHAnsi" w:hAnsiTheme="minorHAnsi" w:cstheme="minorHAnsi"/>
                <w:sz w:val="18"/>
                <w:szCs w:val="18"/>
              </w:rPr>
              <w:t>3</w:t>
            </w:r>
            <w:r>
              <w:rPr>
                <w:rFonts w:asciiTheme="minorHAnsi" w:hAnsiTheme="minorHAnsi" w:cstheme="minorHAnsi"/>
                <w:sz w:val="18"/>
                <w:szCs w:val="18"/>
              </w:rPr>
              <w:t>)</w:t>
            </w:r>
          </w:p>
        </w:tc>
      </w:tr>
      <w:tr w:rsidR="00A501D7" w:rsidRPr="009119A5" w14:paraId="45616766" w14:textId="77777777" w:rsidTr="009E54FE">
        <w:trPr>
          <w:trHeight w:val="288"/>
        </w:trPr>
        <w:tc>
          <w:tcPr>
            <w:tcW w:w="2790" w:type="dxa"/>
            <w:vAlign w:val="center"/>
          </w:tcPr>
          <w:p w14:paraId="396B5D43"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Initial PSA </w:t>
            </w:r>
          </w:p>
        </w:tc>
        <w:tc>
          <w:tcPr>
            <w:tcW w:w="1530" w:type="dxa"/>
            <w:vAlign w:val="center"/>
          </w:tcPr>
          <w:p w14:paraId="66E5A502" w14:textId="0F8381AD"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8.9 (9.6)</w:t>
            </w:r>
          </w:p>
        </w:tc>
        <w:tc>
          <w:tcPr>
            <w:tcW w:w="1530" w:type="dxa"/>
            <w:gridSpan w:val="3"/>
            <w:vAlign w:val="center"/>
          </w:tcPr>
          <w:p w14:paraId="12F83D7B" w14:textId="43128737"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8.8 (6.3)</w:t>
            </w:r>
          </w:p>
        </w:tc>
        <w:tc>
          <w:tcPr>
            <w:tcW w:w="4590" w:type="dxa"/>
            <w:gridSpan w:val="2"/>
            <w:vAlign w:val="center"/>
          </w:tcPr>
          <w:p w14:paraId="585B65E8" w14:textId="04B58DEA"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1.00 (0.94-1.04, p=0.98)</w:t>
            </w:r>
          </w:p>
        </w:tc>
      </w:tr>
      <w:tr w:rsidR="00A501D7" w:rsidRPr="009119A5" w14:paraId="560BA664" w14:textId="77777777" w:rsidTr="009E54FE">
        <w:trPr>
          <w:trHeight w:val="288"/>
        </w:trPr>
        <w:tc>
          <w:tcPr>
            <w:tcW w:w="2790" w:type="dxa"/>
            <w:vAlign w:val="center"/>
          </w:tcPr>
          <w:p w14:paraId="44C88008"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Urinary Baseline Score</w:t>
            </w:r>
          </w:p>
        </w:tc>
        <w:tc>
          <w:tcPr>
            <w:tcW w:w="1530" w:type="dxa"/>
            <w:vAlign w:val="center"/>
          </w:tcPr>
          <w:p w14:paraId="5AE493CA" w14:textId="38DA19C1"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92.2 (12.1)</w:t>
            </w:r>
          </w:p>
        </w:tc>
        <w:tc>
          <w:tcPr>
            <w:tcW w:w="1530" w:type="dxa"/>
            <w:gridSpan w:val="3"/>
            <w:vAlign w:val="center"/>
          </w:tcPr>
          <w:p w14:paraId="0E0680E8" w14:textId="221AD39D"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81.3 (19.6)</w:t>
            </w:r>
          </w:p>
        </w:tc>
        <w:tc>
          <w:tcPr>
            <w:tcW w:w="4590" w:type="dxa"/>
            <w:gridSpan w:val="2"/>
            <w:vAlign w:val="center"/>
          </w:tcPr>
          <w:p w14:paraId="2A8BF390" w14:textId="04162903" w:rsidR="00A501D7" w:rsidRPr="009119A5" w:rsidRDefault="00A501D7" w:rsidP="00A501D7">
            <w:pPr>
              <w:pStyle w:val="NoSpacing"/>
              <w:jc w:val="right"/>
              <w:rPr>
                <w:rFonts w:asciiTheme="minorHAnsi" w:hAnsiTheme="minorHAnsi" w:cstheme="minorHAnsi"/>
                <w:sz w:val="18"/>
                <w:szCs w:val="18"/>
              </w:rPr>
            </w:pPr>
            <w:r w:rsidRPr="004A008C">
              <w:rPr>
                <w:rFonts w:asciiTheme="minorHAnsi" w:hAnsiTheme="minorHAnsi" w:cstheme="minorHAnsi"/>
                <w:sz w:val="18"/>
                <w:szCs w:val="18"/>
                <w:highlight w:val="yellow"/>
              </w:rPr>
              <w:t>0.95 (0.92-0.97, p&lt;0.001)</w:t>
            </w:r>
          </w:p>
        </w:tc>
      </w:tr>
      <w:tr w:rsidR="00A501D7" w:rsidRPr="009119A5" w14:paraId="700BD18A" w14:textId="77777777" w:rsidTr="009E54FE">
        <w:trPr>
          <w:trHeight w:val="288"/>
        </w:trPr>
        <w:tc>
          <w:tcPr>
            <w:tcW w:w="2790" w:type="dxa"/>
            <w:vAlign w:val="center"/>
          </w:tcPr>
          <w:p w14:paraId="17FB2452"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Epic Sexual Baseline Score</w:t>
            </w:r>
          </w:p>
        </w:tc>
        <w:tc>
          <w:tcPr>
            <w:tcW w:w="1530" w:type="dxa"/>
            <w:vAlign w:val="center"/>
          </w:tcPr>
          <w:p w14:paraId="18AD1709" w14:textId="7A34E0FC"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68.2 (30.2)</w:t>
            </w:r>
          </w:p>
        </w:tc>
        <w:tc>
          <w:tcPr>
            <w:tcW w:w="1530" w:type="dxa"/>
            <w:gridSpan w:val="3"/>
            <w:vAlign w:val="center"/>
          </w:tcPr>
          <w:p w14:paraId="4359856B" w14:textId="59A8112A"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60.3 (25.5)</w:t>
            </w:r>
          </w:p>
        </w:tc>
        <w:tc>
          <w:tcPr>
            <w:tcW w:w="4590" w:type="dxa"/>
            <w:gridSpan w:val="2"/>
            <w:vAlign w:val="center"/>
          </w:tcPr>
          <w:p w14:paraId="5C6028D8" w14:textId="290C78CA"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0.99 (0.98-1.01, p=0.5</w:t>
            </w:r>
            <w:r w:rsidR="00050E73">
              <w:rPr>
                <w:rFonts w:asciiTheme="minorHAnsi" w:hAnsiTheme="minorHAnsi" w:cstheme="minorHAnsi"/>
                <w:sz w:val="18"/>
                <w:szCs w:val="18"/>
              </w:rPr>
              <w:t>1</w:t>
            </w:r>
            <w:r>
              <w:rPr>
                <w:rFonts w:asciiTheme="minorHAnsi" w:hAnsiTheme="minorHAnsi" w:cstheme="minorHAnsi"/>
                <w:sz w:val="18"/>
                <w:szCs w:val="18"/>
              </w:rPr>
              <w:t>)</w:t>
            </w:r>
          </w:p>
        </w:tc>
      </w:tr>
      <w:tr w:rsidR="00A501D7" w:rsidRPr="009119A5" w14:paraId="0A091EA0" w14:textId="77777777" w:rsidTr="009E54FE">
        <w:trPr>
          <w:trHeight w:val="288"/>
        </w:trPr>
        <w:tc>
          <w:tcPr>
            <w:tcW w:w="2790" w:type="dxa"/>
            <w:vAlign w:val="center"/>
          </w:tcPr>
          <w:p w14:paraId="10728AA1" w14:textId="77777777"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Grade group 2</w:t>
            </w:r>
          </w:p>
        </w:tc>
        <w:tc>
          <w:tcPr>
            <w:tcW w:w="1530" w:type="dxa"/>
            <w:vAlign w:val="center"/>
          </w:tcPr>
          <w:p w14:paraId="153D00C2" w14:textId="1FA76E92"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139 (87.4%)</w:t>
            </w:r>
          </w:p>
        </w:tc>
        <w:tc>
          <w:tcPr>
            <w:tcW w:w="1530" w:type="dxa"/>
            <w:gridSpan w:val="3"/>
            <w:vAlign w:val="center"/>
          </w:tcPr>
          <w:p w14:paraId="6052C3C7" w14:textId="7549A99B"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20 (12.6%)</w:t>
            </w:r>
          </w:p>
        </w:tc>
        <w:tc>
          <w:tcPr>
            <w:tcW w:w="4590" w:type="dxa"/>
            <w:gridSpan w:val="2"/>
            <w:vAlign w:val="center"/>
          </w:tcPr>
          <w:p w14:paraId="622D9710" w14:textId="4498089A"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1.52 (0.49-5.39, p=0.4</w:t>
            </w:r>
            <w:r w:rsidR="00050E73">
              <w:rPr>
                <w:rFonts w:asciiTheme="minorHAnsi" w:hAnsiTheme="minorHAnsi" w:cstheme="minorHAnsi"/>
                <w:sz w:val="18"/>
                <w:szCs w:val="18"/>
              </w:rPr>
              <w:t>9</w:t>
            </w:r>
            <w:r>
              <w:rPr>
                <w:rFonts w:asciiTheme="minorHAnsi" w:hAnsiTheme="minorHAnsi" w:cstheme="minorHAnsi"/>
                <w:sz w:val="18"/>
                <w:szCs w:val="18"/>
              </w:rPr>
              <w:t>)</w:t>
            </w:r>
          </w:p>
        </w:tc>
      </w:tr>
      <w:tr w:rsidR="00A501D7" w:rsidRPr="009119A5" w14:paraId="590A1FA6" w14:textId="77777777" w:rsidTr="009E54FE">
        <w:trPr>
          <w:trHeight w:val="288"/>
        </w:trPr>
        <w:tc>
          <w:tcPr>
            <w:tcW w:w="2790" w:type="dxa"/>
            <w:vAlign w:val="center"/>
          </w:tcPr>
          <w:p w14:paraId="1AE8A37D" w14:textId="77777777"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Grade group 3</w:t>
            </w:r>
          </w:p>
        </w:tc>
        <w:tc>
          <w:tcPr>
            <w:tcW w:w="1530" w:type="dxa"/>
            <w:vAlign w:val="center"/>
          </w:tcPr>
          <w:p w14:paraId="69D4B133" w14:textId="25FCA5F5"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75 (91.5%)</w:t>
            </w:r>
          </w:p>
        </w:tc>
        <w:tc>
          <w:tcPr>
            <w:tcW w:w="1530" w:type="dxa"/>
            <w:gridSpan w:val="3"/>
            <w:vAlign w:val="center"/>
          </w:tcPr>
          <w:p w14:paraId="1F9ED39C" w14:textId="68776B36"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7 (8.5%)</w:t>
            </w:r>
          </w:p>
        </w:tc>
        <w:tc>
          <w:tcPr>
            <w:tcW w:w="4590" w:type="dxa"/>
            <w:gridSpan w:val="2"/>
            <w:vAlign w:val="center"/>
          </w:tcPr>
          <w:p w14:paraId="2B28D899" w14:textId="4E15F1E2"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1.07 (0.25-4.80, p=0.9</w:t>
            </w:r>
            <w:r w:rsidR="00050E73">
              <w:rPr>
                <w:rFonts w:asciiTheme="minorHAnsi" w:hAnsiTheme="minorHAnsi" w:cstheme="minorHAnsi"/>
                <w:sz w:val="18"/>
                <w:szCs w:val="18"/>
              </w:rPr>
              <w:t>3</w:t>
            </w:r>
            <w:r>
              <w:rPr>
                <w:rFonts w:asciiTheme="minorHAnsi" w:hAnsiTheme="minorHAnsi" w:cstheme="minorHAnsi"/>
                <w:sz w:val="18"/>
                <w:szCs w:val="18"/>
              </w:rPr>
              <w:t>)</w:t>
            </w:r>
          </w:p>
        </w:tc>
      </w:tr>
      <w:tr w:rsidR="00A501D7" w:rsidRPr="009119A5" w14:paraId="5EBB958C" w14:textId="77777777" w:rsidTr="009E54FE">
        <w:trPr>
          <w:trHeight w:val="288"/>
        </w:trPr>
        <w:tc>
          <w:tcPr>
            <w:tcW w:w="2790" w:type="dxa"/>
            <w:vAlign w:val="center"/>
          </w:tcPr>
          <w:p w14:paraId="746D1ABD" w14:textId="77777777"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Grade group 4</w:t>
            </w:r>
          </w:p>
        </w:tc>
        <w:tc>
          <w:tcPr>
            <w:tcW w:w="1530" w:type="dxa"/>
            <w:vAlign w:val="center"/>
          </w:tcPr>
          <w:p w14:paraId="18A7B308" w14:textId="4858F432"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36 (97.3%)</w:t>
            </w:r>
          </w:p>
        </w:tc>
        <w:tc>
          <w:tcPr>
            <w:tcW w:w="1530" w:type="dxa"/>
            <w:gridSpan w:val="3"/>
            <w:vAlign w:val="center"/>
          </w:tcPr>
          <w:p w14:paraId="748C02CF" w14:textId="179D0C7D"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 (2.7%)</w:t>
            </w:r>
          </w:p>
        </w:tc>
        <w:tc>
          <w:tcPr>
            <w:tcW w:w="4590" w:type="dxa"/>
            <w:gridSpan w:val="2"/>
            <w:vAlign w:val="center"/>
          </w:tcPr>
          <w:p w14:paraId="3A54B549" w14:textId="0DEA6FFF"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0.15 (0.01-1.29, p=0.1</w:t>
            </w:r>
            <w:r w:rsidR="00050E73">
              <w:rPr>
                <w:rFonts w:asciiTheme="minorHAnsi" w:hAnsiTheme="minorHAnsi" w:cstheme="minorHAnsi"/>
                <w:sz w:val="18"/>
                <w:szCs w:val="18"/>
              </w:rPr>
              <w:t>3</w:t>
            </w:r>
            <w:r>
              <w:rPr>
                <w:rFonts w:asciiTheme="minorHAnsi" w:hAnsiTheme="minorHAnsi" w:cstheme="minorHAnsi"/>
                <w:sz w:val="18"/>
                <w:szCs w:val="18"/>
              </w:rPr>
              <w:t>)</w:t>
            </w:r>
          </w:p>
        </w:tc>
      </w:tr>
      <w:tr w:rsidR="00A501D7" w:rsidRPr="009119A5" w14:paraId="562F1474" w14:textId="77777777" w:rsidTr="009E54FE">
        <w:trPr>
          <w:trHeight w:val="288"/>
        </w:trPr>
        <w:tc>
          <w:tcPr>
            <w:tcW w:w="2790" w:type="dxa"/>
            <w:vAlign w:val="center"/>
          </w:tcPr>
          <w:p w14:paraId="5D650881" w14:textId="77777777"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Grade group 5</w:t>
            </w:r>
          </w:p>
        </w:tc>
        <w:tc>
          <w:tcPr>
            <w:tcW w:w="1530" w:type="dxa"/>
            <w:vAlign w:val="center"/>
          </w:tcPr>
          <w:p w14:paraId="0804253E" w14:textId="7EF4E794"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57 (96.6)</w:t>
            </w:r>
          </w:p>
        </w:tc>
        <w:tc>
          <w:tcPr>
            <w:tcW w:w="1530" w:type="dxa"/>
            <w:gridSpan w:val="3"/>
            <w:vAlign w:val="center"/>
          </w:tcPr>
          <w:p w14:paraId="22156FFA" w14:textId="1465269C"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 (3.4)</w:t>
            </w:r>
          </w:p>
        </w:tc>
        <w:tc>
          <w:tcPr>
            <w:tcW w:w="4590" w:type="dxa"/>
            <w:gridSpan w:val="2"/>
            <w:vAlign w:val="center"/>
          </w:tcPr>
          <w:p w14:paraId="2B7582FE" w14:textId="4BCFBCFC"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0.22 (0.02-1.42, p=0.1</w:t>
            </w:r>
            <w:r w:rsidR="00851BB1">
              <w:rPr>
                <w:rFonts w:asciiTheme="minorHAnsi" w:hAnsiTheme="minorHAnsi" w:cstheme="minorHAnsi"/>
                <w:sz w:val="18"/>
                <w:szCs w:val="18"/>
              </w:rPr>
              <w:t>4</w:t>
            </w:r>
            <w:r>
              <w:rPr>
                <w:rFonts w:asciiTheme="minorHAnsi" w:hAnsiTheme="minorHAnsi" w:cstheme="minorHAnsi"/>
                <w:sz w:val="18"/>
                <w:szCs w:val="18"/>
              </w:rPr>
              <w:t>)</w:t>
            </w:r>
          </w:p>
        </w:tc>
      </w:tr>
      <w:tr w:rsidR="00A501D7" w:rsidRPr="009119A5" w14:paraId="12BF1069" w14:textId="77777777" w:rsidTr="009E54FE">
        <w:trPr>
          <w:trHeight w:val="288"/>
        </w:trPr>
        <w:tc>
          <w:tcPr>
            <w:tcW w:w="2790" w:type="dxa"/>
            <w:vAlign w:val="center"/>
          </w:tcPr>
          <w:p w14:paraId="6730793C"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lastRenderedPageBreak/>
              <w:t>MUL, coronal (</w:t>
            </w:r>
            <w:r>
              <w:rPr>
                <w:rFonts w:asciiTheme="minorHAnsi" w:hAnsiTheme="minorHAnsi" w:cstheme="minorHAnsi"/>
                <w:sz w:val="18"/>
                <w:szCs w:val="18"/>
              </w:rPr>
              <w:t>m</w:t>
            </w:r>
            <w:r w:rsidRPr="009119A5">
              <w:rPr>
                <w:rFonts w:asciiTheme="minorHAnsi" w:hAnsiTheme="minorHAnsi" w:cstheme="minorHAnsi"/>
                <w:sz w:val="18"/>
                <w:szCs w:val="18"/>
              </w:rPr>
              <w:t>m)</w:t>
            </w:r>
          </w:p>
        </w:tc>
        <w:tc>
          <w:tcPr>
            <w:tcW w:w="1530" w:type="dxa"/>
            <w:vAlign w:val="center"/>
          </w:tcPr>
          <w:p w14:paraId="49A7DD7F" w14:textId="3BD5BE69"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15.0 (3.7)</w:t>
            </w:r>
          </w:p>
        </w:tc>
        <w:tc>
          <w:tcPr>
            <w:tcW w:w="1530" w:type="dxa"/>
            <w:gridSpan w:val="3"/>
            <w:vAlign w:val="center"/>
          </w:tcPr>
          <w:p w14:paraId="47E91DCA" w14:textId="11F685BC"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13.4 (3.2)</w:t>
            </w:r>
          </w:p>
        </w:tc>
        <w:tc>
          <w:tcPr>
            <w:tcW w:w="4590" w:type="dxa"/>
            <w:gridSpan w:val="2"/>
            <w:vAlign w:val="center"/>
          </w:tcPr>
          <w:p w14:paraId="5528A141" w14:textId="1D969F47" w:rsidR="00A501D7" w:rsidRPr="009119A5" w:rsidRDefault="00A501D7" w:rsidP="00A501D7">
            <w:pPr>
              <w:pStyle w:val="NoSpacing"/>
              <w:jc w:val="right"/>
              <w:rPr>
                <w:rFonts w:asciiTheme="minorHAnsi" w:hAnsiTheme="minorHAnsi" w:cstheme="minorHAnsi"/>
                <w:sz w:val="18"/>
                <w:szCs w:val="18"/>
              </w:rPr>
            </w:pPr>
            <w:r w:rsidRPr="004A008C">
              <w:rPr>
                <w:rFonts w:asciiTheme="minorHAnsi" w:hAnsiTheme="minorHAnsi" w:cstheme="minorHAnsi"/>
                <w:sz w:val="18"/>
                <w:szCs w:val="18"/>
                <w:highlight w:val="yellow"/>
              </w:rPr>
              <w:t>0.79 (0.67-0.91, p=0.002)</w:t>
            </w:r>
          </w:p>
        </w:tc>
      </w:tr>
      <w:tr w:rsidR="00A501D7" w:rsidRPr="009119A5" w14:paraId="208CF773" w14:textId="77777777" w:rsidTr="009E54FE">
        <w:trPr>
          <w:trHeight w:val="288"/>
        </w:trPr>
        <w:tc>
          <w:tcPr>
            <w:tcW w:w="2790" w:type="dxa"/>
            <w:vAlign w:val="center"/>
          </w:tcPr>
          <w:p w14:paraId="46E53ECC"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Inner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63A6E9DB" w14:textId="39752AA1"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16.9 (3.0)</w:t>
            </w:r>
          </w:p>
        </w:tc>
        <w:tc>
          <w:tcPr>
            <w:tcW w:w="1530" w:type="dxa"/>
            <w:gridSpan w:val="3"/>
            <w:vAlign w:val="center"/>
          </w:tcPr>
          <w:p w14:paraId="156656EB" w14:textId="5EF13834"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17.6 (3.7)</w:t>
            </w:r>
          </w:p>
        </w:tc>
        <w:tc>
          <w:tcPr>
            <w:tcW w:w="4590" w:type="dxa"/>
            <w:gridSpan w:val="2"/>
            <w:vAlign w:val="center"/>
          </w:tcPr>
          <w:p w14:paraId="12213F7A" w14:textId="7B91F37F"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0.96 (0.80-1.13, p=0.62)</w:t>
            </w:r>
          </w:p>
        </w:tc>
      </w:tr>
      <w:tr w:rsidR="00A501D7" w:rsidRPr="009119A5" w14:paraId="39780415" w14:textId="77777777" w:rsidTr="009E54FE">
        <w:trPr>
          <w:trHeight w:val="288"/>
        </w:trPr>
        <w:tc>
          <w:tcPr>
            <w:tcW w:w="2790" w:type="dxa"/>
            <w:vAlign w:val="center"/>
          </w:tcPr>
          <w:p w14:paraId="5AFDBF3B"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Outer LD (</w:t>
            </w:r>
            <w:r>
              <w:rPr>
                <w:rFonts w:asciiTheme="minorHAnsi" w:hAnsiTheme="minorHAnsi" w:cstheme="minorHAnsi"/>
                <w:sz w:val="18"/>
                <w:szCs w:val="18"/>
              </w:rPr>
              <w:t>m</w:t>
            </w:r>
            <w:r w:rsidRPr="009119A5">
              <w:rPr>
                <w:rFonts w:asciiTheme="minorHAnsi" w:hAnsiTheme="minorHAnsi" w:cstheme="minorHAnsi"/>
                <w:sz w:val="18"/>
                <w:szCs w:val="18"/>
              </w:rPr>
              <w:t xml:space="preserve">m) </w:t>
            </w:r>
          </w:p>
        </w:tc>
        <w:tc>
          <w:tcPr>
            <w:tcW w:w="1530" w:type="dxa"/>
            <w:vAlign w:val="center"/>
          </w:tcPr>
          <w:p w14:paraId="539E2D13" w14:textId="67061B4C"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37.1 (4.1)</w:t>
            </w:r>
          </w:p>
        </w:tc>
        <w:tc>
          <w:tcPr>
            <w:tcW w:w="1530" w:type="dxa"/>
            <w:gridSpan w:val="3"/>
            <w:vAlign w:val="center"/>
          </w:tcPr>
          <w:p w14:paraId="7634084B" w14:textId="70522ED6"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37.5 (3.7)</w:t>
            </w:r>
          </w:p>
        </w:tc>
        <w:tc>
          <w:tcPr>
            <w:tcW w:w="4590" w:type="dxa"/>
            <w:gridSpan w:val="2"/>
            <w:vAlign w:val="center"/>
          </w:tcPr>
          <w:p w14:paraId="452F0FA5" w14:textId="29375B2E"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1.01 (0.88-1.16, p=0.91)</w:t>
            </w:r>
          </w:p>
        </w:tc>
      </w:tr>
      <w:tr w:rsidR="00A501D7" w:rsidRPr="009119A5" w14:paraId="6C03B387" w14:textId="77777777" w:rsidTr="009E54FE">
        <w:trPr>
          <w:trHeight w:val="288"/>
        </w:trPr>
        <w:tc>
          <w:tcPr>
            <w:tcW w:w="2790" w:type="dxa"/>
            <w:vAlign w:val="center"/>
          </w:tcPr>
          <w:p w14:paraId="4C417CFC" w14:textId="77777777" w:rsidR="00A501D7" w:rsidRPr="009119A5" w:rsidRDefault="00A501D7" w:rsidP="00A501D7">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aMUP</w:t>
            </w:r>
            <w:proofErr w:type="spellEnd"/>
            <w:r w:rsidRPr="009119A5">
              <w:rPr>
                <w:rFonts w:asciiTheme="minorHAnsi" w:hAnsiTheme="minorHAnsi" w:cstheme="minorHAnsi"/>
                <w:sz w:val="18"/>
                <w:szCs w:val="18"/>
              </w:rPr>
              <w:t xml:space="preserve"> (degrees)</w:t>
            </w:r>
          </w:p>
        </w:tc>
        <w:tc>
          <w:tcPr>
            <w:tcW w:w="1530" w:type="dxa"/>
            <w:vAlign w:val="center"/>
          </w:tcPr>
          <w:p w14:paraId="0764A3D8" w14:textId="1BDBCE17"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129.0 (11.6)</w:t>
            </w:r>
          </w:p>
        </w:tc>
        <w:tc>
          <w:tcPr>
            <w:tcW w:w="1530" w:type="dxa"/>
            <w:gridSpan w:val="3"/>
            <w:vAlign w:val="center"/>
          </w:tcPr>
          <w:p w14:paraId="3AEE5635" w14:textId="5A7E160E"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129.9 (12.3)</w:t>
            </w:r>
          </w:p>
        </w:tc>
        <w:tc>
          <w:tcPr>
            <w:tcW w:w="4590" w:type="dxa"/>
            <w:gridSpan w:val="2"/>
            <w:vAlign w:val="center"/>
          </w:tcPr>
          <w:p w14:paraId="646E06B1" w14:textId="4BB1B9EB"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1.02 (0.98-1.06, p=0.35)</w:t>
            </w:r>
          </w:p>
        </w:tc>
      </w:tr>
      <w:tr w:rsidR="00A501D7" w:rsidRPr="009119A5" w14:paraId="5C21B6EC" w14:textId="77777777" w:rsidTr="009E54FE">
        <w:trPr>
          <w:trHeight w:val="288"/>
        </w:trPr>
        <w:tc>
          <w:tcPr>
            <w:tcW w:w="2790" w:type="dxa"/>
            <w:vAlign w:val="center"/>
          </w:tcPr>
          <w:p w14:paraId="650B2C37" w14:textId="77777777" w:rsidR="00A501D7" w:rsidRPr="009119A5" w:rsidRDefault="00A501D7" w:rsidP="00A501D7">
            <w:pPr>
              <w:pStyle w:val="NoSpacing"/>
              <w:jc w:val="right"/>
              <w:rPr>
                <w:rFonts w:asciiTheme="minorHAnsi" w:hAnsiTheme="minorHAnsi" w:cstheme="minorHAnsi"/>
                <w:sz w:val="18"/>
                <w:szCs w:val="18"/>
              </w:rPr>
            </w:pPr>
            <w:proofErr w:type="spellStart"/>
            <w:r w:rsidRPr="009119A5">
              <w:rPr>
                <w:rFonts w:asciiTheme="minorHAnsi" w:hAnsiTheme="minorHAnsi" w:cstheme="minorHAnsi"/>
                <w:sz w:val="18"/>
                <w:szCs w:val="18"/>
              </w:rPr>
              <w:t>Pubourethal</w:t>
            </w:r>
            <w:proofErr w:type="spellEnd"/>
            <w:r w:rsidRPr="009119A5">
              <w:rPr>
                <w:rFonts w:asciiTheme="minorHAnsi" w:hAnsiTheme="minorHAnsi" w:cstheme="minorHAnsi"/>
                <w:sz w:val="18"/>
                <w:szCs w:val="18"/>
              </w:rPr>
              <w:t xml:space="preserve"> angle (degrees) </w:t>
            </w:r>
          </w:p>
        </w:tc>
        <w:tc>
          <w:tcPr>
            <w:tcW w:w="1530" w:type="dxa"/>
            <w:vAlign w:val="center"/>
          </w:tcPr>
          <w:p w14:paraId="78AC22A7" w14:textId="3220FECA"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55.3 (11.9)</w:t>
            </w:r>
          </w:p>
        </w:tc>
        <w:tc>
          <w:tcPr>
            <w:tcW w:w="1530" w:type="dxa"/>
            <w:gridSpan w:val="3"/>
            <w:vAlign w:val="center"/>
          </w:tcPr>
          <w:p w14:paraId="7EBA575A" w14:textId="36DB4DD8"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55.9 (11.8)</w:t>
            </w:r>
          </w:p>
        </w:tc>
        <w:tc>
          <w:tcPr>
            <w:tcW w:w="4590" w:type="dxa"/>
            <w:gridSpan w:val="2"/>
            <w:vAlign w:val="center"/>
          </w:tcPr>
          <w:p w14:paraId="4DB60D1C" w14:textId="7C364DC6"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0.99 (0.95-1.03, p=0.56)</w:t>
            </w:r>
          </w:p>
        </w:tc>
      </w:tr>
      <w:tr w:rsidR="00A501D7" w:rsidRPr="009119A5" w14:paraId="753E6A5E" w14:textId="77777777" w:rsidTr="009E54FE">
        <w:trPr>
          <w:trHeight w:val="288"/>
        </w:trPr>
        <w:tc>
          <w:tcPr>
            <w:tcW w:w="2790" w:type="dxa"/>
            <w:vAlign w:val="center"/>
          </w:tcPr>
          <w:p w14:paraId="14736E14"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 xml:space="preserve">Prostate Volume </w:t>
            </w:r>
          </w:p>
        </w:tc>
        <w:tc>
          <w:tcPr>
            <w:tcW w:w="1530" w:type="dxa"/>
            <w:vAlign w:val="center"/>
          </w:tcPr>
          <w:p w14:paraId="2B52AFC9" w14:textId="164635BB"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44.4 (24.9)</w:t>
            </w:r>
          </w:p>
        </w:tc>
        <w:tc>
          <w:tcPr>
            <w:tcW w:w="1530" w:type="dxa"/>
            <w:gridSpan w:val="3"/>
            <w:vAlign w:val="center"/>
          </w:tcPr>
          <w:p w14:paraId="1E2E868B" w14:textId="1E880DBE"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48.9 (36.2)</w:t>
            </w:r>
          </w:p>
        </w:tc>
        <w:tc>
          <w:tcPr>
            <w:tcW w:w="4590" w:type="dxa"/>
            <w:gridSpan w:val="2"/>
            <w:vAlign w:val="center"/>
          </w:tcPr>
          <w:p w14:paraId="79EC31C6" w14:textId="4A52AA3A"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1.00 (0.98-1.02, p=0.99)</w:t>
            </w:r>
          </w:p>
        </w:tc>
      </w:tr>
      <w:tr w:rsidR="00A501D7" w:rsidRPr="009119A5" w14:paraId="0865FDBF" w14:textId="77777777" w:rsidTr="009E54FE">
        <w:trPr>
          <w:trHeight w:val="288"/>
        </w:trPr>
        <w:tc>
          <w:tcPr>
            <w:tcW w:w="2790" w:type="dxa"/>
            <w:vAlign w:val="center"/>
          </w:tcPr>
          <w:p w14:paraId="768398A6"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4</w:t>
            </w:r>
          </w:p>
        </w:tc>
        <w:tc>
          <w:tcPr>
            <w:tcW w:w="1530" w:type="dxa"/>
            <w:vAlign w:val="center"/>
          </w:tcPr>
          <w:p w14:paraId="318405ED" w14:textId="6483FE73"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162 (94.2%)</w:t>
            </w:r>
          </w:p>
        </w:tc>
        <w:tc>
          <w:tcPr>
            <w:tcW w:w="1530" w:type="dxa"/>
            <w:gridSpan w:val="3"/>
            <w:vAlign w:val="center"/>
          </w:tcPr>
          <w:p w14:paraId="30E4250C" w14:textId="36C5661B"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10 (5.8%)</w:t>
            </w:r>
          </w:p>
        </w:tc>
        <w:tc>
          <w:tcPr>
            <w:tcW w:w="4590" w:type="dxa"/>
            <w:gridSpan w:val="2"/>
            <w:vAlign w:val="center"/>
          </w:tcPr>
          <w:p w14:paraId="3B6E0FEE" w14:textId="6059524D"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1.31 (0.25-11.33, p=0.77)</w:t>
            </w:r>
          </w:p>
        </w:tc>
      </w:tr>
      <w:tr w:rsidR="00A501D7" w:rsidRPr="009119A5" w14:paraId="7B0EED3E" w14:textId="77777777" w:rsidTr="009E54FE">
        <w:trPr>
          <w:trHeight w:val="288"/>
        </w:trPr>
        <w:tc>
          <w:tcPr>
            <w:tcW w:w="2790" w:type="dxa"/>
            <w:vAlign w:val="center"/>
          </w:tcPr>
          <w:p w14:paraId="4BC44B86" w14:textId="77777777" w:rsidR="00A501D7" w:rsidRPr="009119A5" w:rsidRDefault="00A501D7" w:rsidP="00A501D7">
            <w:pPr>
              <w:pStyle w:val="NoSpacing"/>
              <w:jc w:val="right"/>
              <w:rPr>
                <w:rFonts w:asciiTheme="minorHAnsi" w:hAnsiTheme="minorHAnsi" w:cstheme="minorHAnsi"/>
                <w:sz w:val="18"/>
                <w:szCs w:val="18"/>
              </w:rPr>
            </w:pPr>
            <w:r w:rsidRPr="009119A5">
              <w:rPr>
                <w:rFonts w:asciiTheme="minorHAnsi" w:hAnsiTheme="minorHAnsi" w:cstheme="minorHAnsi"/>
                <w:sz w:val="18"/>
                <w:szCs w:val="18"/>
              </w:rPr>
              <w:t>PIRADS 5</w:t>
            </w:r>
          </w:p>
        </w:tc>
        <w:tc>
          <w:tcPr>
            <w:tcW w:w="1530" w:type="dxa"/>
            <w:vAlign w:val="center"/>
          </w:tcPr>
          <w:p w14:paraId="449223EE" w14:textId="4DEAFBF7"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164 (89.1%)</w:t>
            </w:r>
          </w:p>
        </w:tc>
        <w:tc>
          <w:tcPr>
            <w:tcW w:w="1530" w:type="dxa"/>
            <w:gridSpan w:val="3"/>
            <w:vAlign w:val="center"/>
          </w:tcPr>
          <w:p w14:paraId="3579298B" w14:textId="4AD10A9F"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20 (10.9)</w:t>
            </w:r>
          </w:p>
        </w:tc>
        <w:tc>
          <w:tcPr>
            <w:tcW w:w="4590" w:type="dxa"/>
            <w:gridSpan w:val="2"/>
            <w:vAlign w:val="center"/>
          </w:tcPr>
          <w:p w14:paraId="043B894C" w14:textId="5DB74F01"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2.06 (0.40-17.88, p=0.44)</w:t>
            </w:r>
          </w:p>
        </w:tc>
      </w:tr>
      <w:tr w:rsidR="00A501D7" w:rsidRPr="009119A5" w14:paraId="27780727" w14:textId="77777777" w:rsidTr="009E54FE">
        <w:trPr>
          <w:trHeight w:val="288"/>
        </w:trPr>
        <w:tc>
          <w:tcPr>
            <w:tcW w:w="2790" w:type="dxa"/>
            <w:vAlign w:val="center"/>
          </w:tcPr>
          <w:p w14:paraId="06B04C0D" w14:textId="77777777"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 xml:space="preserve">Median Lobe Enlargement: </w:t>
            </w:r>
          </w:p>
        </w:tc>
        <w:tc>
          <w:tcPr>
            <w:tcW w:w="1530" w:type="dxa"/>
            <w:vAlign w:val="center"/>
          </w:tcPr>
          <w:p w14:paraId="3462512F" w14:textId="77777777" w:rsidR="00A501D7" w:rsidRPr="009119A5" w:rsidRDefault="00A501D7" w:rsidP="00A501D7">
            <w:pPr>
              <w:pStyle w:val="NoSpacing"/>
              <w:rPr>
                <w:rFonts w:asciiTheme="minorHAnsi" w:hAnsiTheme="minorHAnsi" w:cstheme="minorHAnsi"/>
                <w:sz w:val="18"/>
                <w:szCs w:val="18"/>
              </w:rPr>
            </w:pPr>
          </w:p>
        </w:tc>
        <w:tc>
          <w:tcPr>
            <w:tcW w:w="1530" w:type="dxa"/>
            <w:gridSpan w:val="3"/>
            <w:vAlign w:val="center"/>
          </w:tcPr>
          <w:p w14:paraId="3AD15656" w14:textId="77777777" w:rsidR="00A501D7" w:rsidRPr="009119A5" w:rsidRDefault="00A501D7" w:rsidP="00A501D7">
            <w:pPr>
              <w:pStyle w:val="NoSpacing"/>
              <w:rPr>
                <w:rFonts w:asciiTheme="minorHAnsi" w:hAnsiTheme="minorHAnsi" w:cstheme="minorHAnsi"/>
                <w:sz w:val="18"/>
                <w:szCs w:val="18"/>
              </w:rPr>
            </w:pPr>
          </w:p>
        </w:tc>
        <w:tc>
          <w:tcPr>
            <w:tcW w:w="4590" w:type="dxa"/>
            <w:gridSpan w:val="2"/>
            <w:vAlign w:val="center"/>
          </w:tcPr>
          <w:p w14:paraId="0BE9E80E" w14:textId="77777777" w:rsidR="00A501D7" w:rsidRPr="009119A5" w:rsidRDefault="00A501D7" w:rsidP="00A501D7">
            <w:pPr>
              <w:pStyle w:val="NoSpacing"/>
              <w:jc w:val="right"/>
              <w:rPr>
                <w:rFonts w:asciiTheme="minorHAnsi" w:hAnsiTheme="minorHAnsi" w:cstheme="minorHAnsi"/>
                <w:sz w:val="18"/>
                <w:szCs w:val="18"/>
              </w:rPr>
            </w:pPr>
          </w:p>
        </w:tc>
      </w:tr>
      <w:tr w:rsidR="00A501D7" w:rsidRPr="009119A5" w14:paraId="00FFF612" w14:textId="77777777" w:rsidTr="009E54FE">
        <w:trPr>
          <w:trHeight w:val="288"/>
        </w:trPr>
        <w:tc>
          <w:tcPr>
            <w:tcW w:w="2790" w:type="dxa"/>
            <w:vAlign w:val="center"/>
          </w:tcPr>
          <w:p w14:paraId="42B72122" w14:textId="77777777"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Moderately Enlarged</w:t>
            </w:r>
          </w:p>
        </w:tc>
        <w:tc>
          <w:tcPr>
            <w:tcW w:w="1530" w:type="dxa"/>
            <w:vAlign w:val="center"/>
          </w:tcPr>
          <w:p w14:paraId="067EF783" w14:textId="50915213"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33 (97.1%)</w:t>
            </w:r>
          </w:p>
        </w:tc>
        <w:tc>
          <w:tcPr>
            <w:tcW w:w="1530" w:type="dxa"/>
            <w:gridSpan w:val="3"/>
            <w:vAlign w:val="center"/>
          </w:tcPr>
          <w:p w14:paraId="4FEA0E1E" w14:textId="72067459"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1 (2.9%)</w:t>
            </w:r>
          </w:p>
        </w:tc>
        <w:tc>
          <w:tcPr>
            <w:tcW w:w="4590" w:type="dxa"/>
            <w:gridSpan w:val="2"/>
            <w:vAlign w:val="center"/>
          </w:tcPr>
          <w:p w14:paraId="612C7135" w14:textId="5C5EBCF1"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0.29 (0.01-2.27, p=0.30)</w:t>
            </w:r>
          </w:p>
        </w:tc>
      </w:tr>
      <w:tr w:rsidR="00A501D7" w:rsidRPr="009119A5" w14:paraId="09A3565C" w14:textId="77777777" w:rsidTr="009E54FE">
        <w:trPr>
          <w:trHeight w:val="288"/>
        </w:trPr>
        <w:tc>
          <w:tcPr>
            <w:tcW w:w="2790" w:type="dxa"/>
            <w:vAlign w:val="center"/>
          </w:tcPr>
          <w:p w14:paraId="768FAEA8" w14:textId="77777777" w:rsidR="00A501D7"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Substantially Enlarged</w:t>
            </w:r>
          </w:p>
        </w:tc>
        <w:tc>
          <w:tcPr>
            <w:tcW w:w="1530" w:type="dxa"/>
            <w:vAlign w:val="center"/>
          </w:tcPr>
          <w:p w14:paraId="012C63FD" w14:textId="7CAA652D"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7 (77.8%)</w:t>
            </w:r>
          </w:p>
        </w:tc>
        <w:tc>
          <w:tcPr>
            <w:tcW w:w="1530" w:type="dxa"/>
            <w:gridSpan w:val="3"/>
            <w:vAlign w:val="center"/>
          </w:tcPr>
          <w:p w14:paraId="1F0490CB" w14:textId="2FF87073"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 (22.2%</w:t>
            </w:r>
          </w:p>
        </w:tc>
        <w:tc>
          <w:tcPr>
            <w:tcW w:w="4590" w:type="dxa"/>
            <w:gridSpan w:val="2"/>
            <w:vAlign w:val="center"/>
          </w:tcPr>
          <w:p w14:paraId="0D3371D9" w14:textId="398352C0"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2.40 (0.16-24.02, p=0.48)</w:t>
            </w:r>
          </w:p>
        </w:tc>
      </w:tr>
      <w:tr w:rsidR="00A501D7" w:rsidRPr="009119A5" w14:paraId="691ECD4D" w14:textId="77777777" w:rsidTr="009E54FE">
        <w:trPr>
          <w:trHeight w:val="288"/>
        </w:trPr>
        <w:tc>
          <w:tcPr>
            <w:tcW w:w="2790" w:type="dxa"/>
            <w:vAlign w:val="center"/>
          </w:tcPr>
          <w:p w14:paraId="5A34ABF3" w14:textId="77777777" w:rsidR="00A501D7"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Not Enlarged</w:t>
            </w:r>
          </w:p>
        </w:tc>
        <w:tc>
          <w:tcPr>
            <w:tcW w:w="1530" w:type="dxa"/>
            <w:vAlign w:val="center"/>
          </w:tcPr>
          <w:p w14:paraId="31B56507" w14:textId="68FEC46A"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278 (91.4%)</w:t>
            </w:r>
          </w:p>
        </w:tc>
        <w:tc>
          <w:tcPr>
            <w:tcW w:w="1530" w:type="dxa"/>
            <w:gridSpan w:val="3"/>
            <w:vAlign w:val="center"/>
          </w:tcPr>
          <w:p w14:paraId="16F19450" w14:textId="10C21225" w:rsidR="00A501D7" w:rsidRPr="009119A5" w:rsidRDefault="00A501D7" w:rsidP="00A501D7">
            <w:pPr>
              <w:pStyle w:val="NoSpacing"/>
              <w:rPr>
                <w:rFonts w:asciiTheme="minorHAnsi" w:hAnsiTheme="minorHAnsi" w:cstheme="minorHAnsi"/>
                <w:sz w:val="18"/>
                <w:szCs w:val="18"/>
              </w:rPr>
            </w:pPr>
            <w:r>
              <w:rPr>
                <w:rFonts w:asciiTheme="minorHAnsi" w:hAnsiTheme="minorHAnsi" w:cstheme="minorHAnsi"/>
                <w:sz w:val="18"/>
                <w:szCs w:val="18"/>
              </w:rPr>
              <w:t>26 (8.6%)</w:t>
            </w:r>
          </w:p>
        </w:tc>
        <w:tc>
          <w:tcPr>
            <w:tcW w:w="4590" w:type="dxa"/>
            <w:gridSpan w:val="2"/>
            <w:vAlign w:val="center"/>
          </w:tcPr>
          <w:p w14:paraId="4CD38193" w14:textId="61EBE645" w:rsidR="00A501D7" w:rsidRPr="009119A5" w:rsidRDefault="00A501D7" w:rsidP="00A501D7">
            <w:pPr>
              <w:pStyle w:val="NoSpacing"/>
              <w:jc w:val="right"/>
              <w:rPr>
                <w:rFonts w:asciiTheme="minorHAnsi" w:hAnsiTheme="minorHAnsi" w:cstheme="minorHAnsi"/>
                <w:sz w:val="18"/>
                <w:szCs w:val="18"/>
              </w:rPr>
            </w:pPr>
            <w:r>
              <w:rPr>
                <w:rFonts w:asciiTheme="minorHAnsi" w:hAnsiTheme="minorHAnsi" w:cstheme="minorHAnsi"/>
                <w:sz w:val="18"/>
                <w:szCs w:val="18"/>
              </w:rPr>
              <w:t>1.44 (0.50-4.76, p=0.5</w:t>
            </w:r>
            <w:r w:rsidR="00851BB1">
              <w:rPr>
                <w:rFonts w:asciiTheme="minorHAnsi" w:hAnsiTheme="minorHAnsi" w:cstheme="minorHAnsi"/>
                <w:sz w:val="18"/>
                <w:szCs w:val="18"/>
              </w:rPr>
              <w:t>2</w:t>
            </w:r>
            <w:r>
              <w:rPr>
                <w:rFonts w:asciiTheme="minorHAnsi" w:hAnsiTheme="minorHAnsi" w:cstheme="minorHAnsi"/>
                <w:sz w:val="18"/>
                <w:szCs w:val="18"/>
              </w:rPr>
              <w:t>)</w:t>
            </w:r>
          </w:p>
        </w:tc>
      </w:tr>
    </w:tbl>
    <w:p w14:paraId="7776C01C" w14:textId="71CB48FD" w:rsidR="00F52A0A" w:rsidRDefault="00F52A0A" w:rsidP="00295F5C">
      <w:pPr>
        <w:spacing w:line="480" w:lineRule="auto"/>
        <w:rPr>
          <w:rFonts w:asciiTheme="minorHAnsi" w:hAnsiTheme="minorHAnsi" w:cstheme="minorHAnsi"/>
          <w:sz w:val="22"/>
          <w:szCs w:val="22"/>
        </w:rPr>
      </w:pPr>
    </w:p>
    <w:p w14:paraId="7873BD16"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MUL: membranous urethra length</w:t>
      </w:r>
    </w:p>
    <w:p w14:paraId="0B29FA5E" w14:textId="77777777" w:rsidR="00FD21AA" w:rsidRPr="0040096C" w:rsidRDefault="00FD21AA" w:rsidP="00FD21AA">
      <w:pPr>
        <w:pStyle w:val="NoSpacing"/>
        <w:rPr>
          <w:rFonts w:asciiTheme="minorHAnsi" w:hAnsiTheme="minorHAnsi" w:cstheme="minorHAnsi"/>
          <w:sz w:val="20"/>
          <w:szCs w:val="20"/>
        </w:rPr>
      </w:pPr>
      <w:r w:rsidRPr="0040096C">
        <w:rPr>
          <w:rFonts w:asciiTheme="minorHAnsi" w:hAnsiTheme="minorHAnsi" w:cstheme="minorHAnsi"/>
          <w:sz w:val="20"/>
          <w:szCs w:val="20"/>
        </w:rPr>
        <w:t>LD: levator diameter</w:t>
      </w:r>
      <w:r w:rsidRPr="0040096C">
        <w:rPr>
          <w:rFonts w:asciiTheme="minorHAnsi" w:hAnsiTheme="minorHAnsi" w:cstheme="minorHAnsi"/>
          <w:sz w:val="20"/>
          <w:szCs w:val="20"/>
        </w:rPr>
        <w:br/>
      </w:r>
      <w:proofErr w:type="spellStart"/>
      <w:r w:rsidRPr="0040096C">
        <w:rPr>
          <w:rFonts w:asciiTheme="minorHAnsi" w:hAnsiTheme="minorHAnsi" w:cstheme="minorHAnsi"/>
          <w:sz w:val="20"/>
          <w:szCs w:val="20"/>
        </w:rPr>
        <w:t>aMUP</w:t>
      </w:r>
      <w:proofErr w:type="spellEnd"/>
      <w:r w:rsidRPr="0040096C">
        <w:rPr>
          <w:rFonts w:asciiTheme="minorHAnsi" w:hAnsiTheme="minorHAnsi" w:cstheme="minorHAnsi"/>
          <w:sz w:val="20"/>
          <w:szCs w:val="20"/>
        </w:rPr>
        <w:t>: angle between membranous urethra and prostatic axis</w:t>
      </w:r>
    </w:p>
    <w:p w14:paraId="1EBBFB56" w14:textId="77777777" w:rsidR="00FD21AA" w:rsidRDefault="00FD21AA" w:rsidP="00295F5C">
      <w:pPr>
        <w:spacing w:line="480" w:lineRule="auto"/>
        <w:rPr>
          <w:rFonts w:asciiTheme="minorHAnsi" w:hAnsiTheme="minorHAnsi" w:cstheme="minorHAnsi"/>
          <w:sz w:val="22"/>
          <w:szCs w:val="22"/>
        </w:rPr>
      </w:pPr>
    </w:p>
    <w:p w14:paraId="6A0104DE" w14:textId="77777777" w:rsidR="00E022E3" w:rsidRDefault="00E022E3" w:rsidP="00295F5C">
      <w:pPr>
        <w:spacing w:line="480" w:lineRule="auto"/>
        <w:rPr>
          <w:rFonts w:asciiTheme="minorHAnsi" w:hAnsiTheme="minorHAnsi" w:cstheme="minorHAnsi"/>
          <w:sz w:val="22"/>
          <w:szCs w:val="22"/>
        </w:rPr>
      </w:pPr>
    </w:p>
    <w:p w14:paraId="65D1040B" w14:textId="77777777" w:rsidR="005C2A4E" w:rsidRDefault="005C2A4E">
      <w:pPr>
        <w:rPr>
          <w:rFonts w:asciiTheme="minorHAnsi" w:hAnsiTheme="minorHAnsi" w:cstheme="minorHAnsi"/>
          <w:b/>
          <w:sz w:val="22"/>
          <w:szCs w:val="22"/>
        </w:rPr>
      </w:pPr>
      <w:r>
        <w:rPr>
          <w:rFonts w:asciiTheme="minorHAnsi" w:hAnsiTheme="minorHAnsi" w:cstheme="minorHAnsi"/>
          <w:b/>
          <w:sz w:val="22"/>
          <w:szCs w:val="22"/>
        </w:rPr>
        <w:br w:type="page"/>
      </w:r>
    </w:p>
    <w:p w14:paraId="1862EBEA" w14:textId="20065789" w:rsidR="00C738B9" w:rsidRPr="00C738B9" w:rsidRDefault="00C738B9" w:rsidP="00295F5C">
      <w:pPr>
        <w:spacing w:line="480" w:lineRule="auto"/>
        <w:rPr>
          <w:rFonts w:asciiTheme="minorHAnsi" w:hAnsiTheme="minorHAnsi" w:cstheme="minorHAnsi"/>
          <w:b/>
          <w:sz w:val="22"/>
          <w:szCs w:val="22"/>
          <w:u w:val="single"/>
        </w:rPr>
      </w:pPr>
      <w:r w:rsidRPr="00C738B9">
        <w:rPr>
          <w:rFonts w:asciiTheme="minorHAnsi" w:hAnsiTheme="minorHAnsi" w:cstheme="minorHAnsi"/>
          <w:b/>
          <w:sz w:val="22"/>
          <w:szCs w:val="22"/>
          <w:u w:val="single"/>
        </w:rPr>
        <w:lastRenderedPageBreak/>
        <w:t xml:space="preserve">Figure Legends </w:t>
      </w:r>
    </w:p>
    <w:p w14:paraId="259FD82D" w14:textId="77777777" w:rsidR="00C738B9" w:rsidRPr="00C738B9" w:rsidRDefault="00C738B9" w:rsidP="00C738B9">
      <w:pPr>
        <w:spacing w:line="480" w:lineRule="auto"/>
        <w:rPr>
          <w:rFonts w:asciiTheme="minorHAnsi" w:hAnsiTheme="minorHAnsi" w:cstheme="minorHAnsi"/>
          <w:sz w:val="22"/>
          <w:szCs w:val="22"/>
        </w:rPr>
      </w:pPr>
      <w:r w:rsidRPr="00C738B9">
        <w:rPr>
          <w:rFonts w:asciiTheme="minorHAnsi" w:hAnsiTheme="minorHAnsi" w:cstheme="minorHAnsi"/>
          <w:b/>
          <w:sz w:val="22"/>
          <w:szCs w:val="22"/>
        </w:rPr>
        <w:t>Figure 1</w:t>
      </w:r>
      <w:r w:rsidRPr="00C738B9">
        <w:rPr>
          <w:rFonts w:asciiTheme="minorHAnsi" w:hAnsiTheme="minorHAnsi" w:cstheme="minorHAnsi"/>
          <w:sz w:val="22"/>
          <w:szCs w:val="22"/>
        </w:rPr>
        <w:t xml:space="preserve">. Membranous urethra length measurement technique at T2w fast spin echo imaging. </w:t>
      </w:r>
      <w:r w:rsidRPr="00C738B9">
        <w:rPr>
          <w:rFonts w:asciiTheme="minorHAnsi" w:hAnsiTheme="minorHAnsi" w:cstheme="minorHAnsi"/>
          <w:b/>
          <w:sz w:val="22"/>
          <w:szCs w:val="22"/>
        </w:rPr>
        <w:t>A</w:t>
      </w:r>
      <w:r w:rsidRPr="00C738B9">
        <w:rPr>
          <w:rFonts w:asciiTheme="minorHAnsi" w:hAnsiTheme="minorHAnsi" w:cstheme="minorHAnsi"/>
          <w:sz w:val="22"/>
          <w:szCs w:val="22"/>
        </w:rPr>
        <w:t xml:space="preserve">: sagittal view. </w:t>
      </w:r>
      <w:r w:rsidRPr="00C738B9">
        <w:rPr>
          <w:rFonts w:asciiTheme="minorHAnsi" w:hAnsiTheme="minorHAnsi" w:cstheme="minorHAnsi"/>
          <w:b/>
          <w:sz w:val="22"/>
          <w:szCs w:val="22"/>
        </w:rPr>
        <w:t>B</w:t>
      </w:r>
      <w:r w:rsidRPr="00C738B9">
        <w:rPr>
          <w:rFonts w:asciiTheme="minorHAnsi" w:hAnsiTheme="minorHAnsi" w:cstheme="minorHAnsi"/>
          <w:sz w:val="22"/>
          <w:szCs w:val="22"/>
        </w:rPr>
        <w:t xml:space="preserve">: coronal view. </w:t>
      </w:r>
    </w:p>
    <w:p w14:paraId="0034F627" w14:textId="77777777" w:rsidR="00C738B9" w:rsidRPr="00C738B9" w:rsidRDefault="00C738B9" w:rsidP="00C738B9">
      <w:pPr>
        <w:spacing w:line="480" w:lineRule="auto"/>
        <w:rPr>
          <w:rFonts w:asciiTheme="minorHAnsi" w:hAnsiTheme="minorHAnsi" w:cstheme="minorHAnsi"/>
          <w:b/>
          <w:sz w:val="22"/>
          <w:szCs w:val="22"/>
          <w:u w:val="single"/>
        </w:rPr>
      </w:pPr>
      <w:r w:rsidRPr="00C738B9">
        <w:rPr>
          <w:rFonts w:asciiTheme="minorHAnsi" w:hAnsiTheme="minorHAnsi" w:cstheme="minorHAnsi"/>
          <w:b/>
          <w:sz w:val="22"/>
          <w:szCs w:val="22"/>
        </w:rPr>
        <w:t>Figure 2</w:t>
      </w:r>
      <w:r w:rsidRPr="00C738B9">
        <w:rPr>
          <w:rFonts w:asciiTheme="minorHAnsi" w:hAnsiTheme="minorHAnsi" w:cstheme="minorHAnsi"/>
          <w:sz w:val="22"/>
          <w:szCs w:val="22"/>
        </w:rPr>
        <w:t xml:space="preserve">. Anatomic measurement techniques at axial (2A) and sagittal (2B, 2C) T2w fast spin echo imaging. </w:t>
      </w:r>
      <w:r w:rsidRPr="00C738B9">
        <w:rPr>
          <w:rFonts w:asciiTheme="minorHAnsi" w:hAnsiTheme="minorHAnsi" w:cstheme="minorHAnsi"/>
          <w:b/>
          <w:sz w:val="22"/>
          <w:szCs w:val="22"/>
        </w:rPr>
        <w:t>A</w:t>
      </w:r>
      <w:r w:rsidRPr="00C738B9">
        <w:rPr>
          <w:rFonts w:asciiTheme="minorHAnsi" w:hAnsiTheme="minorHAnsi" w:cstheme="minorHAnsi"/>
          <w:sz w:val="22"/>
          <w:szCs w:val="22"/>
        </w:rPr>
        <w:t xml:space="preserve">: inner levator distance (dots), outer levator distance (arrow heads), axial. </w:t>
      </w:r>
      <w:r w:rsidRPr="00C738B9">
        <w:rPr>
          <w:rFonts w:asciiTheme="minorHAnsi" w:hAnsiTheme="minorHAnsi" w:cstheme="minorHAnsi"/>
          <w:b/>
          <w:sz w:val="22"/>
          <w:szCs w:val="22"/>
        </w:rPr>
        <w:t>B</w:t>
      </w:r>
      <w:r w:rsidRPr="00C738B9">
        <w:rPr>
          <w:rFonts w:asciiTheme="minorHAnsi" w:hAnsiTheme="minorHAnsi" w:cstheme="minorHAnsi"/>
          <w:sz w:val="22"/>
          <w:szCs w:val="22"/>
        </w:rPr>
        <w:t>: angle between membranous urethra and prostatic axis (</w:t>
      </w:r>
      <w:proofErr w:type="spellStart"/>
      <w:r w:rsidRPr="00C738B9">
        <w:rPr>
          <w:rFonts w:asciiTheme="minorHAnsi" w:hAnsiTheme="minorHAnsi" w:cstheme="minorHAnsi"/>
          <w:sz w:val="22"/>
          <w:szCs w:val="22"/>
        </w:rPr>
        <w:t>aMUP</w:t>
      </w:r>
      <w:proofErr w:type="spellEnd"/>
      <w:r w:rsidRPr="00C738B9">
        <w:rPr>
          <w:rFonts w:asciiTheme="minorHAnsi" w:hAnsiTheme="minorHAnsi" w:cstheme="minorHAnsi"/>
          <w:sz w:val="22"/>
          <w:szCs w:val="22"/>
        </w:rPr>
        <w:t xml:space="preserve">). </w:t>
      </w:r>
      <w:r w:rsidRPr="00C738B9">
        <w:rPr>
          <w:rFonts w:asciiTheme="minorHAnsi" w:hAnsiTheme="minorHAnsi" w:cstheme="minorHAnsi"/>
          <w:b/>
          <w:sz w:val="22"/>
          <w:szCs w:val="22"/>
        </w:rPr>
        <w:t>C</w:t>
      </w:r>
      <w:r w:rsidRPr="00C738B9">
        <w:rPr>
          <w:rFonts w:asciiTheme="minorHAnsi" w:hAnsiTheme="minorHAnsi" w:cstheme="minorHAnsi"/>
          <w:sz w:val="22"/>
          <w:szCs w:val="22"/>
        </w:rPr>
        <w:t xml:space="preserve">: </w:t>
      </w:r>
      <w:proofErr w:type="spellStart"/>
      <w:r w:rsidRPr="00C738B9">
        <w:rPr>
          <w:rFonts w:asciiTheme="minorHAnsi" w:hAnsiTheme="minorHAnsi" w:cstheme="minorHAnsi"/>
          <w:sz w:val="22"/>
          <w:szCs w:val="22"/>
        </w:rPr>
        <w:t>pubourethral</w:t>
      </w:r>
      <w:proofErr w:type="spellEnd"/>
      <w:r w:rsidRPr="00C738B9">
        <w:rPr>
          <w:rFonts w:asciiTheme="minorHAnsi" w:hAnsiTheme="minorHAnsi" w:cstheme="minorHAnsi"/>
          <w:sz w:val="22"/>
          <w:szCs w:val="22"/>
        </w:rPr>
        <w:t xml:space="preserve"> angle. </w:t>
      </w:r>
    </w:p>
    <w:p w14:paraId="0F931A49" w14:textId="196421B0" w:rsidR="00C738B9" w:rsidRDefault="00C738B9" w:rsidP="00295F5C">
      <w:pPr>
        <w:spacing w:line="480" w:lineRule="auto"/>
        <w:rPr>
          <w:rFonts w:asciiTheme="minorHAnsi" w:hAnsiTheme="minorHAnsi" w:cstheme="minorHAnsi"/>
          <w:b/>
          <w:sz w:val="22"/>
          <w:szCs w:val="22"/>
        </w:rPr>
      </w:pPr>
    </w:p>
    <w:p w14:paraId="316D1523" w14:textId="40D09C08" w:rsidR="00C738B9" w:rsidRDefault="00C738B9" w:rsidP="00295F5C">
      <w:pPr>
        <w:spacing w:line="480" w:lineRule="auto"/>
        <w:rPr>
          <w:rFonts w:asciiTheme="minorHAnsi" w:hAnsiTheme="minorHAnsi" w:cstheme="minorHAnsi"/>
          <w:b/>
          <w:sz w:val="22"/>
          <w:szCs w:val="22"/>
        </w:rPr>
      </w:pPr>
    </w:p>
    <w:p w14:paraId="1DFEC137" w14:textId="2009A9D6" w:rsidR="00C738B9" w:rsidRPr="00C738B9" w:rsidRDefault="00C738B9" w:rsidP="00295F5C">
      <w:pPr>
        <w:spacing w:line="480" w:lineRule="auto"/>
        <w:rPr>
          <w:rFonts w:asciiTheme="minorHAnsi" w:hAnsiTheme="minorHAnsi" w:cstheme="minorHAnsi"/>
          <w:b/>
          <w:sz w:val="22"/>
          <w:szCs w:val="22"/>
          <w:u w:val="single"/>
        </w:rPr>
      </w:pPr>
      <w:r w:rsidRPr="00C738B9">
        <w:rPr>
          <w:rFonts w:asciiTheme="minorHAnsi" w:hAnsiTheme="minorHAnsi" w:cstheme="minorHAnsi"/>
          <w:b/>
          <w:sz w:val="22"/>
          <w:szCs w:val="22"/>
          <w:u w:val="single"/>
        </w:rPr>
        <w:t xml:space="preserve">Supplemental Material </w:t>
      </w:r>
    </w:p>
    <w:p w14:paraId="54E5E576" w14:textId="476F6AD9" w:rsidR="00E022E3" w:rsidRDefault="00F52A0A"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t>Table 5</w:t>
      </w:r>
      <w:r>
        <w:rPr>
          <w:rFonts w:asciiTheme="minorHAnsi" w:hAnsiTheme="minorHAnsi" w:cstheme="minorHAnsi"/>
          <w:sz w:val="22"/>
          <w:szCs w:val="22"/>
        </w:rPr>
        <w:t xml:space="preserve">. </w:t>
      </w:r>
      <w:r w:rsidR="009E54FE">
        <w:rPr>
          <w:rFonts w:asciiTheme="minorHAnsi" w:hAnsiTheme="minorHAnsi" w:cstheme="minorHAnsi"/>
          <w:sz w:val="22"/>
          <w:szCs w:val="22"/>
        </w:rPr>
        <w:t xml:space="preserve">Statistical comparison </w:t>
      </w:r>
      <w:r>
        <w:rPr>
          <w:rFonts w:asciiTheme="minorHAnsi" w:hAnsiTheme="minorHAnsi" w:cstheme="minorHAnsi"/>
          <w:sz w:val="22"/>
          <w:szCs w:val="22"/>
        </w:rPr>
        <w:t>of continence models</w:t>
      </w:r>
      <w:r w:rsidR="005C2A4E">
        <w:rPr>
          <w:rFonts w:asciiTheme="minorHAnsi" w:hAnsiTheme="minorHAnsi" w:cstheme="minorHAnsi"/>
          <w:sz w:val="22"/>
          <w:szCs w:val="22"/>
        </w:rPr>
        <w:t>. P-values reflect Delong’s test.</w:t>
      </w:r>
    </w:p>
    <w:tbl>
      <w:tblPr>
        <w:tblStyle w:val="TableGrid"/>
        <w:tblW w:w="0" w:type="auto"/>
        <w:tblLook w:val="04A0" w:firstRow="1" w:lastRow="0" w:firstColumn="1" w:lastColumn="0" w:noHBand="0" w:noVBand="1"/>
      </w:tblPr>
      <w:tblGrid>
        <w:gridCol w:w="2335"/>
        <w:gridCol w:w="1890"/>
        <w:gridCol w:w="1890"/>
      </w:tblGrid>
      <w:tr w:rsidR="00E022E3" w14:paraId="2EC9DBFA" w14:textId="77777777" w:rsidTr="00260272">
        <w:trPr>
          <w:trHeight w:val="170"/>
        </w:trPr>
        <w:tc>
          <w:tcPr>
            <w:tcW w:w="4225" w:type="dxa"/>
            <w:gridSpan w:val="2"/>
          </w:tcPr>
          <w:p w14:paraId="512A3E0C" w14:textId="4CE2B054" w:rsidR="00E022E3" w:rsidRPr="00A501D7" w:rsidRDefault="00E022E3" w:rsidP="00E022E3">
            <w:pPr>
              <w:rPr>
                <w:rFonts w:asciiTheme="minorHAnsi" w:hAnsiTheme="minorHAnsi" w:cstheme="minorHAnsi"/>
                <w:b/>
                <w:sz w:val="18"/>
                <w:szCs w:val="18"/>
              </w:rPr>
            </w:pPr>
            <w:r w:rsidRPr="00A501D7">
              <w:rPr>
                <w:rFonts w:asciiTheme="minorHAnsi" w:hAnsiTheme="minorHAnsi" w:cstheme="minorHAnsi"/>
                <w:b/>
                <w:sz w:val="18"/>
                <w:szCs w:val="18"/>
              </w:rPr>
              <w:t xml:space="preserve">3-month Models </w:t>
            </w:r>
          </w:p>
        </w:tc>
        <w:tc>
          <w:tcPr>
            <w:tcW w:w="1890" w:type="dxa"/>
            <w:vAlign w:val="center"/>
          </w:tcPr>
          <w:p w14:paraId="580ABB8C" w14:textId="12DC8C79" w:rsidR="00E022E3" w:rsidRPr="00A501D7" w:rsidRDefault="005C2A4E" w:rsidP="00260272">
            <w:pPr>
              <w:jc w:val="center"/>
              <w:rPr>
                <w:rFonts w:asciiTheme="minorHAnsi" w:hAnsiTheme="minorHAnsi" w:cstheme="minorHAnsi"/>
                <w:b/>
                <w:sz w:val="18"/>
                <w:szCs w:val="18"/>
              </w:rPr>
            </w:pPr>
            <w:r>
              <w:rPr>
                <w:rFonts w:asciiTheme="minorHAnsi" w:hAnsiTheme="minorHAnsi" w:cstheme="minorHAnsi"/>
                <w:b/>
                <w:sz w:val="18"/>
                <w:szCs w:val="18"/>
              </w:rPr>
              <w:t>P</w:t>
            </w:r>
          </w:p>
        </w:tc>
      </w:tr>
      <w:tr w:rsidR="00E022E3" w14:paraId="7C3AAC63" w14:textId="77777777" w:rsidTr="00A501D7">
        <w:tc>
          <w:tcPr>
            <w:tcW w:w="2335" w:type="dxa"/>
          </w:tcPr>
          <w:p w14:paraId="150F0683" w14:textId="75CF15F4"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1108D1CD" w14:textId="65F221FE"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0.690</w:t>
            </w:r>
          </w:p>
        </w:tc>
        <w:tc>
          <w:tcPr>
            <w:tcW w:w="1890" w:type="dxa"/>
          </w:tcPr>
          <w:p w14:paraId="5C0ABBD4" w14:textId="1DD6FBD4"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1A655FFF" w14:textId="6C982B76"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w:t>
            </w:r>
            <w:r w:rsidR="00D55F4A">
              <w:rPr>
                <w:rFonts w:asciiTheme="minorHAnsi" w:hAnsiTheme="minorHAnsi" w:cstheme="minorHAnsi"/>
                <w:sz w:val="18"/>
                <w:szCs w:val="18"/>
              </w:rPr>
              <w:t>702</w:t>
            </w:r>
          </w:p>
        </w:tc>
        <w:tc>
          <w:tcPr>
            <w:tcW w:w="1890" w:type="dxa"/>
            <w:vAlign w:val="center"/>
          </w:tcPr>
          <w:p w14:paraId="3E2067CB" w14:textId="6029FB82"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p = 0.</w:t>
            </w:r>
            <w:r w:rsidR="00D55F4A">
              <w:rPr>
                <w:rFonts w:asciiTheme="minorHAnsi" w:hAnsiTheme="minorHAnsi" w:cstheme="minorHAnsi"/>
                <w:sz w:val="18"/>
                <w:szCs w:val="18"/>
              </w:rPr>
              <w:t>7</w:t>
            </w:r>
            <w:r w:rsidR="0058030F">
              <w:rPr>
                <w:rFonts w:asciiTheme="minorHAnsi" w:hAnsiTheme="minorHAnsi" w:cstheme="minorHAnsi"/>
                <w:sz w:val="18"/>
                <w:szCs w:val="18"/>
              </w:rPr>
              <w:t>6</w:t>
            </w:r>
          </w:p>
        </w:tc>
      </w:tr>
      <w:tr w:rsidR="00E022E3" w14:paraId="006B6A27" w14:textId="77777777" w:rsidTr="00A501D7">
        <w:tc>
          <w:tcPr>
            <w:tcW w:w="2335" w:type="dxa"/>
          </w:tcPr>
          <w:p w14:paraId="3E1A43D7"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71F44367" w14:textId="10A96534"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0.690</w:t>
            </w:r>
          </w:p>
        </w:tc>
        <w:tc>
          <w:tcPr>
            <w:tcW w:w="1890" w:type="dxa"/>
          </w:tcPr>
          <w:p w14:paraId="4D9C240D" w14:textId="2A532505"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42CAC6EC" w14:textId="0DC15FB5"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0.74</w:t>
            </w:r>
            <w:r w:rsidR="00D55F4A">
              <w:rPr>
                <w:rFonts w:asciiTheme="minorHAnsi" w:hAnsiTheme="minorHAnsi" w:cstheme="minorHAnsi"/>
                <w:sz w:val="18"/>
                <w:szCs w:val="18"/>
              </w:rPr>
              <w:t>5</w:t>
            </w:r>
          </w:p>
        </w:tc>
        <w:tc>
          <w:tcPr>
            <w:tcW w:w="1890" w:type="dxa"/>
            <w:vAlign w:val="center"/>
          </w:tcPr>
          <w:p w14:paraId="783E12FD" w14:textId="45A2881D"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p = 0.1</w:t>
            </w:r>
            <w:r w:rsidR="00D55F4A">
              <w:rPr>
                <w:rFonts w:asciiTheme="minorHAnsi" w:hAnsiTheme="minorHAnsi" w:cstheme="minorHAnsi"/>
                <w:sz w:val="18"/>
                <w:szCs w:val="18"/>
              </w:rPr>
              <w:t>3</w:t>
            </w:r>
          </w:p>
        </w:tc>
      </w:tr>
      <w:tr w:rsidR="00E022E3" w14:paraId="14A7BDE4" w14:textId="77777777" w:rsidTr="00A501D7">
        <w:tc>
          <w:tcPr>
            <w:tcW w:w="2335" w:type="dxa"/>
          </w:tcPr>
          <w:p w14:paraId="7BA91ADD"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33D3FF8F" w14:textId="516BB766"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w:t>
            </w:r>
            <w:r w:rsidR="00D55F4A">
              <w:rPr>
                <w:rFonts w:asciiTheme="minorHAnsi" w:hAnsiTheme="minorHAnsi" w:cstheme="minorHAnsi"/>
                <w:sz w:val="18"/>
                <w:szCs w:val="18"/>
              </w:rPr>
              <w:t>702</w:t>
            </w:r>
          </w:p>
        </w:tc>
        <w:tc>
          <w:tcPr>
            <w:tcW w:w="1890" w:type="dxa"/>
          </w:tcPr>
          <w:p w14:paraId="57EBBD24"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66FFDCED" w14:textId="2C67B1FA"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0.74</w:t>
            </w:r>
            <w:r w:rsidR="00D55F4A">
              <w:rPr>
                <w:rFonts w:asciiTheme="minorHAnsi" w:hAnsiTheme="minorHAnsi" w:cstheme="minorHAnsi"/>
                <w:sz w:val="18"/>
                <w:szCs w:val="18"/>
              </w:rPr>
              <w:t>5</w:t>
            </w:r>
          </w:p>
        </w:tc>
        <w:tc>
          <w:tcPr>
            <w:tcW w:w="1890" w:type="dxa"/>
            <w:vAlign w:val="center"/>
          </w:tcPr>
          <w:p w14:paraId="00CB5C7C" w14:textId="01A302E3"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p = 0.2</w:t>
            </w:r>
            <w:r w:rsidR="0058030F">
              <w:rPr>
                <w:rFonts w:asciiTheme="minorHAnsi" w:hAnsiTheme="minorHAnsi" w:cstheme="minorHAnsi"/>
                <w:sz w:val="18"/>
                <w:szCs w:val="18"/>
              </w:rPr>
              <w:t>4</w:t>
            </w:r>
          </w:p>
        </w:tc>
      </w:tr>
      <w:tr w:rsidR="00E022E3" w14:paraId="3662586F" w14:textId="77777777" w:rsidTr="00A501D7">
        <w:tc>
          <w:tcPr>
            <w:tcW w:w="4225" w:type="dxa"/>
            <w:gridSpan w:val="2"/>
          </w:tcPr>
          <w:p w14:paraId="0423F7EC" w14:textId="27FFE6F0" w:rsidR="00E022E3" w:rsidRPr="00A501D7" w:rsidRDefault="00E022E3" w:rsidP="00E022E3">
            <w:pPr>
              <w:rPr>
                <w:rFonts w:asciiTheme="minorHAnsi" w:hAnsiTheme="minorHAnsi" w:cstheme="minorHAnsi"/>
                <w:b/>
                <w:sz w:val="18"/>
                <w:szCs w:val="18"/>
              </w:rPr>
            </w:pPr>
            <w:r w:rsidRPr="00A501D7">
              <w:rPr>
                <w:rFonts w:asciiTheme="minorHAnsi" w:hAnsiTheme="minorHAnsi" w:cstheme="minorHAnsi"/>
                <w:b/>
                <w:sz w:val="18"/>
                <w:szCs w:val="18"/>
              </w:rPr>
              <w:t xml:space="preserve">6-month Models </w:t>
            </w:r>
          </w:p>
        </w:tc>
        <w:tc>
          <w:tcPr>
            <w:tcW w:w="1890" w:type="dxa"/>
            <w:vAlign w:val="center"/>
          </w:tcPr>
          <w:p w14:paraId="72EAD7B6" w14:textId="77777777" w:rsidR="00E022E3" w:rsidRPr="00A501D7" w:rsidRDefault="00E022E3" w:rsidP="00E022E3">
            <w:pPr>
              <w:rPr>
                <w:rFonts w:asciiTheme="minorHAnsi" w:hAnsiTheme="minorHAnsi" w:cstheme="minorHAnsi"/>
                <w:sz w:val="18"/>
                <w:szCs w:val="18"/>
              </w:rPr>
            </w:pPr>
          </w:p>
        </w:tc>
      </w:tr>
      <w:tr w:rsidR="00E022E3" w14:paraId="00818E78" w14:textId="77777777" w:rsidTr="00A501D7">
        <w:tc>
          <w:tcPr>
            <w:tcW w:w="2335" w:type="dxa"/>
          </w:tcPr>
          <w:p w14:paraId="30274B11"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75E75BE2" w14:textId="272BF1A8"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0.705</w:t>
            </w:r>
          </w:p>
        </w:tc>
        <w:tc>
          <w:tcPr>
            <w:tcW w:w="1890" w:type="dxa"/>
          </w:tcPr>
          <w:p w14:paraId="7AC3CD02"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47BCEAD5" w14:textId="6B53715F"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0.70</w:t>
            </w:r>
            <w:r w:rsidR="00317522">
              <w:rPr>
                <w:rFonts w:asciiTheme="minorHAnsi" w:hAnsiTheme="minorHAnsi" w:cstheme="minorHAnsi"/>
                <w:sz w:val="18"/>
                <w:szCs w:val="18"/>
              </w:rPr>
              <w:t>5</w:t>
            </w:r>
          </w:p>
        </w:tc>
        <w:tc>
          <w:tcPr>
            <w:tcW w:w="1890" w:type="dxa"/>
            <w:vAlign w:val="center"/>
          </w:tcPr>
          <w:p w14:paraId="3589BF6D" w14:textId="025A9A43"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 xml:space="preserve">p = </w:t>
            </w:r>
            <w:r w:rsidR="0058030F">
              <w:rPr>
                <w:rFonts w:asciiTheme="minorHAnsi" w:hAnsiTheme="minorHAnsi" w:cstheme="minorHAnsi"/>
                <w:sz w:val="18"/>
                <w:szCs w:val="18"/>
              </w:rPr>
              <w:t>1.00</w:t>
            </w:r>
          </w:p>
        </w:tc>
      </w:tr>
      <w:tr w:rsidR="00E022E3" w14:paraId="547463BC" w14:textId="77777777" w:rsidTr="00A501D7">
        <w:tc>
          <w:tcPr>
            <w:tcW w:w="2335" w:type="dxa"/>
          </w:tcPr>
          <w:p w14:paraId="4B0C281B"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05434B38" w14:textId="3D607EE3"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0.705</w:t>
            </w:r>
          </w:p>
        </w:tc>
        <w:tc>
          <w:tcPr>
            <w:tcW w:w="1890" w:type="dxa"/>
          </w:tcPr>
          <w:p w14:paraId="334E48F7"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01A94A9D" w14:textId="28F4D08C"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w:t>
            </w:r>
            <w:r w:rsidR="00317522">
              <w:rPr>
                <w:rFonts w:asciiTheme="minorHAnsi" w:hAnsiTheme="minorHAnsi" w:cstheme="minorHAnsi"/>
                <w:sz w:val="18"/>
                <w:szCs w:val="18"/>
              </w:rPr>
              <w:t>66</w:t>
            </w:r>
          </w:p>
        </w:tc>
        <w:tc>
          <w:tcPr>
            <w:tcW w:w="1890" w:type="dxa"/>
            <w:vAlign w:val="center"/>
          </w:tcPr>
          <w:p w14:paraId="56A00889" w14:textId="68DCB19D"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p = 0.</w:t>
            </w:r>
            <w:r w:rsidR="00317522">
              <w:rPr>
                <w:rFonts w:asciiTheme="minorHAnsi" w:hAnsiTheme="minorHAnsi" w:cstheme="minorHAnsi"/>
                <w:sz w:val="18"/>
                <w:szCs w:val="18"/>
              </w:rPr>
              <w:t>20</w:t>
            </w:r>
          </w:p>
        </w:tc>
      </w:tr>
      <w:tr w:rsidR="00E022E3" w14:paraId="76663791" w14:textId="77777777" w:rsidTr="00A501D7">
        <w:tc>
          <w:tcPr>
            <w:tcW w:w="2335" w:type="dxa"/>
          </w:tcPr>
          <w:p w14:paraId="2D28752C"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10230FB9" w14:textId="0FF08CE1"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0.70</w:t>
            </w:r>
            <w:r w:rsidR="00317522">
              <w:rPr>
                <w:rFonts w:asciiTheme="minorHAnsi" w:hAnsiTheme="minorHAnsi" w:cstheme="minorHAnsi"/>
                <w:sz w:val="18"/>
                <w:szCs w:val="18"/>
              </w:rPr>
              <w:t>5</w:t>
            </w:r>
          </w:p>
        </w:tc>
        <w:tc>
          <w:tcPr>
            <w:tcW w:w="1890" w:type="dxa"/>
          </w:tcPr>
          <w:p w14:paraId="6F391C13"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2C1ED951" w14:textId="1A593D7A"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 0.7</w:t>
            </w:r>
            <w:r w:rsidR="00317522">
              <w:rPr>
                <w:rFonts w:asciiTheme="minorHAnsi" w:hAnsiTheme="minorHAnsi" w:cstheme="minorHAnsi"/>
                <w:sz w:val="18"/>
                <w:szCs w:val="18"/>
              </w:rPr>
              <w:t>66</w:t>
            </w:r>
          </w:p>
        </w:tc>
        <w:tc>
          <w:tcPr>
            <w:tcW w:w="1890" w:type="dxa"/>
            <w:vAlign w:val="center"/>
          </w:tcPr>
          <w:p w14:paraId="3683B93D" w14:textId="7596B37E" w:rsidR="00E022E3" w:rsidRPr="00A501D7" w:rsidRDefault="00E022E3" w:rsidP="00E022E3">
            <w:pPr>
              <w:jc w:val="center"/>
              <w:rPr>
                <w:rFonts w:asciiTheme="minorHAnsi" w:hAnsiTheme="minorHAnsi" w:cstheme="minorHAnsi"/>
                <w:sz w:val="18"/>
                <w:szCs w:val="18"/>
              </w:rPr>
            </w:pPr>
            <w:r w:rsidRPr="00A501D7">
              <w:rPr>
                <w:rFonts w:asciiTheme="minorHAnsi" w:hAnsiTheme="minorHAnsi" w:cstheme="minorHAnsi"/>
                <w:sz w:val="18"/>
                <w:szCs w:val="18"/>
              </w:rPr>
              <w:t>p = 0.</w:t>
            </w:r>
            <w:r w:rsidR="00317522">
              <w:rPr>
                <w:rFonts w:asciiTheme="minorHAnsi" w:hAnsiTheme="minorHAnsi" w:cstheme="minorHAnsi"/>
                <w:sz w:val="18"/>
                <w:szCs w:val="18"/>
              </w:rPr>
              <w:t>20</w:t>
            </w:r>
          </w:p>
        </w:tc>
      </w:tr>
      <w:tr w:rsidR="00E022E3" w14:paraId="7631247A" w14:textId="77777777" w:rsidTr="00A501D7">
        <w:tc>
          <w:tcPr>
            <w:tcW w:w="4225" w:type="dxa"/>
            <w:gridSpan w:val="2"/>
          </w:tcPr>
          <w:p w14:paraId="05E05A91" w14:textId="04D770FE" w:rsidR="00E022E3" w:rsidRPr="00A501D7" w:rsidRDefault="00E022E3" w:rsidP="00E022E3">
            <w:pPr>
              <w:rPr>
                <w:rFonts w:asciiTheme="minorHAnsi" w:hAnsiTheme="minorHAnsi" w:cstheme="minorHAnsi"/>
                <w:b/>
                <w:sz w:val="18"/>
                <w:szCs w:val="18"/>
              </w:rPr>
            </w:pPr>
            <w:r w:rsidRPr="00A501D7">
              <w:rPr>
                <w:rFonts w:asciiTheme="minorHAnsi" w:hAnsiTheme="minorHAnsi" w:cstheme="minorHAnsi"/>
                <w:b/>
                <w:sz w:val="18"/>
                <w:szCs w:val="18"/>
              </w:rPr>
              <w:t xml:space="preserve">12-month Models </w:t>
            </w:r>
          </w:p>
        </w:tc>
        <w:tc>
          <w:tcPr>
            <w:tcW w:w="1890" w:type="dxa"/>
            <w:vAlign w:val="center"/>
          </w:tcPr>
          <w:p w14:paraId="0AFF10B8" w14:textId="77777777" w:rsidR="00E022E3" w:rsidRPr="00A501D7" w:rsidRDefault="00E022E3" w:rsidP="00E022E3">
            <w:pPr>
              <w:jc w:val="center"/>
              <w:rPr>
                <w:rFonts w:asciiTheme="minorHAnsi" w:hAnsiTheme="minorHAnsi" w:cstheme="minorHAnsi"/>
                <w:sz w:val="18"/>
                <w:szCs w:val="18"/>
              </w:rPr>
            </w:pPr>
          </w:p>
        </w:tc>
      </w:tr>
      <w:tr w:rsidR="00E022E3" w14:paraId="2FD33D82" w14:textId="77777777" w:rsidTr="00A501D7">
        <w:tc>
          <w:tcPr>
            <w:tcW w:w="2335" w:type="dxa"/>
          </w:tcPr>
          <w:p w14:paraId="6A1FF6B0"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54A7F046" w14:textId="5DD7AC2C"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w:t>
            </w:r>
            <w:r w:rsidR="004A008C">
              <w:rPr>
                <w:rFonts w:asciiTheme="minorHAnsi" w:hAnsiTheme="minorHAnsi" w:cstheme="minorHAnsi"/>
                <w:sz w:val="18"/>
                <w:szCs w:val="18"/>
              </w:rPr>
              <w:t xml:space="preserve"> 0.806</w:t>
            </w:r>
          </w:p>
        </w:tc>
        <w:tc>
          <w:tcPr>
            <w:tcW w:w="1890" w:type="dxa"/>
          </w:tcPr>
          <w:p w14:paraId="4328C159"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49B98C70" w14:textId="1F52B22E"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c-statistic =</w:t>
            </w:r>
            <w:r w:rsidR="004A008C">
              <w:rPr>
                <w:rFonts w:asciiTheme="minorHAnsi" w:hAnsiTheme="minorHAnsi" w:cstheme="minorHAnsi"/>
                <w:sz w:val="18"/>
                <w:szCs w:val="18"/>
              </w:rPr>
              <w:t xml:space="preserve"> 0.706</w:t>
            </w:r>
          </w:p>
        </w:tc>
        <w:tc>
          <w:tcPr>
            <w:tcW w:w="1890" w:type="dxa"/>
            <w:vAlign w:val="center"/>
          </w:tcPr>
          <w:p w14:paraId="6E4D8AD0" w14:textId="3170E95A" w:rsidR="00E022E3" w:rsidRPr="00A501D7" w:rsidRDefault="004A008C" w:rsidP="00E022E3">
            <w:pPr>
              <w:jc w:val="center"/>
              <w:rPr>
                <w:rFonts w:asciiTheme="minorHAnsi" w:hAnsiTheme="minorHAnsi" w:cstheme="minorHAnsi"/>
                <w:sz w:val="18"/>
                <w:szCs w:val="18"/>
              </w:rPr>
            </w:pPr>
            <w:r>
              <w:rPr>
                <w:rFonts w:asciiTheme="minorHAnsi" w:hAnsiTheme="minorHAnsi" w:cstheme="minorHAnsi"/>
                <w:sz w:val="18"/>
                <w:szCs w:val="18"/>
              </w:rPr>
              <w:t xml:space="preserve">p = 0.10 </w:t>
            </w:r>
          </w:p>
        </w:tc>
      </w:tr>
      <w:tr w:rsidR="00E022E3" w14:paraId="1724F67B" w14:textId="77777777" w:rsidTr="00A501D7">
        <w:tc>
          <w:tcPr>
            <w:tcW w:w="2335" w:type="dxa"/>
          </w:tcPr>
          <w:p w14:paraId="296F68EC"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Clinical variables alone </w:t>
            </w:r>
          </w:p>
          <w:p w14:paraId="12E2B90D" w14:textId="3015C39B"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c-statistic = </w:t>
            </w:r>
            <w:r w:rsidR="004A008C">
              <w:rPr>
                <w:rFonts w:asciiTheme="minorHAnsi" w:hAnsiTheme="minorHAnsi" w:cstheme="minorHAnsi"/>
                <w:sz w:val="18"/>
                <w:szCs w:val="18"/>
              </w:rPr>
              <w:t>0.806</w:t>
            </w:r>
          </w:p>
        </w:tc>
        <w:tc>
          <w:tcPr>
            <w:tcW w:w="1890" w:type="dxa"/>
          </w:tcPr>
          <w:p w14:paraId="01D575D0"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1EE1DB80" w14:textId="07C831FC"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c-statistic = </w:t>
            </w:r>
            <w:r w:rsidR="004A008C">
              <w:rPr>
                <w:rFonts w:asciiTheme="minorHAnsi" w:hAnsiTheme="minorHAnsi" w:cstheme="minorHAnsi"/>
                <w:sz w:val="18"/>
                <w:szCs w:val="18"/>
              </w:rPr>
              <w:t>0.824</w:t>
            </w:r>
          </w:p>
        </w:tc>
        <w:tc>
          <w:tcPr>
            <w:tcW w:w="1890" w:type="dxa"/>
            <w:vAlign w:val="center"/>
          </w:tcPr>
          <w:p w14:paraId="59AE84AE" w14:textId="51F0A97F" w:rsidR="00E022E3" w:rsidRPr="00A501D7" w:rsidRDefault="004A008C" w:rsidP="00E022E3">
            <w:pPr>
              <w:jc w:val="center"/>
              <w:rPr>
                <w:rFonts w:asciiTheme="minorHAnsi" w:hAnsiTheme="minorHAnsi" w:cstheme="minorHAnsi"/>
                <w:sz w:val="18"/>
                <w:szCs w:val="18"/>
              </w:rPr>
            </w:pPr>
            <w:r>
              <w:rPr>
                <w:rFonts w:asciiTheme="minorHAnsi" w:hAnsiTheme="minorHAnsi" w:cstheme="minorHAnsi"/>
                <w:sz w:val="18"/>
                <w:szCs w:val="18"/>
              </w:rPr>
              <w:t>p = 0.7</w:t>
            </w:r>
            <w:r w:rsidR="0058030F">
              <w:rPr>
                <w:rFonts w:asciiTheme="minorHAnsi" w:hAnsiTheme="minorHAnsi" w:cstheme="minorHAnsi"/>
                <w:sz w:val="18"/>
                <w:szCs w:val="18"/>
              </w:rPr>
              <w:t>3</w:t>
            </w:r>
          </w:p>
        </w:tc>
      </w:tr>
      <w:tr w:rsidR="00E022E3" w14:paraId="5AA13F4D" w14:textId="77777777" w:rsidTr="00A501D7">
        <w:tc>
          <w:tcPr>
            <w:tcW w:w="2335" w:type="dxa"/>
          </w:tcPr>
          <w:p w14:paraId="522BB91F"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MRI variables alone </w:t>
            </w:r>
          </w:p>
          <w:p w14:paraId="030C9FB8" w14:textId="18C011D6"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c-statistic = </w:t>
            </w:r>
            <w:r w:rsidR="004A008C">
              <w:rPr>
                <w:rFonts w:asciiTheme="minorHAnsi" w:hAnsiTheme="minorHAnsi" w:cstheme="minorHAnsi"/>
                <w:sz w:val="18"/>
                <w:szCs w:val="18"/>
              </w:rPr>
              <w:t>0.706</w:t>
            </w:r>
          </w:p>
        </w:tc>
        <w:tc>
          <w:tcPr>
            <w:tcW w:w="1890" w:type="dxa"/>
          </w:tcPr>
          <w:p w14:paraId="5F0EFA02" w14:textId="77777777"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Combined model</w:t>
            </w:r>
          </w:p>
          <w:p w14:paraId="1657FCF6" w14:textId="58E75DD4" w:rsidR="00E022E3" w:rsidRPr="00A501D7" w:rsidRDefault="00E022E3" w:rsidP="00E022E3">
            <w:pPr>
              <w:rPr>
                <w:rFonts w:asciiTheme="minorHAnsi" w:hAnsiTheme="minorHAnsi" w:cstheme="minorHAnsi"/>
                <w:sz w:val="18"/>
                <w:szCs w:val="18"/>
              </w:rPr>
            </w:pPr>
            <w:r w:rsidRPr="00A501D7">
              <w:rPr>
                <w:rFonts w:asciiTheme="minorHAnsi" w:hAnsiTheme="minorHAnsi" w:cstheme="minorHAnsi"/>
                <w:sz w:val="18"/>
                <w:szCs w:val="18"/>
              </w:rPr>
              <w:t xml:space="preserve">c-statistic = </w:t>
            </w:r>
            <w:r w:rsidR="004A008C">
              <w:rPr>
                <w:rFonts w:asciiTheme="minorHAnsi" w:hAnsiTheme="minorHAnsi" w:cstheme="minorHAnsi"/>
                <w:sz w:val="18"/>
                <w:szCs w:val="18"/>
              </w:rPr>
              <w:t>0.824</w:t>
            </w:r>
          </w:p>
        </w:tc>
        <w:tc>
          <w:tcPr>
            <w:tcW w:w="1890" w:type="dxa"/>
            <w:vAlign w:val="center"/>
          </w:tcPr>
          <w:p w14:paraId="489015CD" w14:textId="1643652F" w:rsidR="00E022E3" w:rsidRPr="00A501D7" w:rsidRDefault="00145493" w:rsidP="00E022E3">
            <w:pPr>
              <w:jc w:val="center"/>
              <w:rPr>
                <w:rFonts w:asciiTheme="minorHAnsi" w:hAnsiTheme="minorHAnsi" w:cstheme="minorHAnsi"/>
                <w:sz w:val="18"/>
                <w:szCs w:val="18"/>
              </w:rPr>
            </w:pPr>
            <w:r>
              <w:rPr>
                <w:rFonts w:asciiTheme="minorHAnsi" w:hAnsiTheme="minorHAnsi" w:cstheme="minorHAnsi"/>
                <w:sz w:val="18"/>
                <w:szCs w:val="18"/>
              </w:rPr>
              <w:t>p</w:t>
            </w:r>
            <w:r w:rsidR="004A008C">
              <w:rPr>
                <w:rFonts w:asciiTheme="minorHAnsi" w:hAnsiTheme="minorHAnsi" w:cstheme="minorHAnsi"/>
                <w:sz w:val="18"/>
                <w:szCs w:val="18"/>
              </w:rPr>
              <w:t xml:space="preserve"> = 0.06</w:t>
            </w:r>
          </w:p>
        </w:tc>
      </w:tr>
    </w:tbl>
    <w:p w14:paraId="24692637" w14:textId="5D6A5FB1" w:rsidR="00F52A0A" w:rsidRDefault="0078034C" w:rsidP="00295F5C">
      <w:pPr>
        <w:spacing w:line="480" w:lineRule="auto"/>
        <w:rPr>
          <w:rFonts w:asciiTheme="minorHAnsi" w:hAnsiTheme="minorHAnsi" w:cstheme="minorHAnsi"/>
          <w:sz w:val="22"/>
          <w:szCs w:val="22"/>
        </w:rPr>
      </w:pPr>
      <w:r>
        <w:rPr>
          <w:rFonts w:asciiTheme="minorHAnsi" w:hAnsiTheme="minorHAnsi" w:cstheme="minorHAnsi"/>
          <w:sz w:val="22"/>
          <w:szCs w:val="22"/>
        </w:rPr>
        <w:t xml:space="preserve"> </w:t>
      </w:r>
      <w:r w:rsidR="00F52A0A">
        <w:rPr>
          <w:rFonts w:asciiTheme="minorHAnsi" w:hAnsiTheme="minorHAnsi" w:cstheme="minorHAnsi"/>
          <w:sz w:val="22"/>
          <w:szCs w:val="22"/>
        </w:rPr>
        <w:t xml:space="preserve"> </w:t>
      </w:r>
    </w:p>
    <w:p w14:paraId="186AFC5C" w14:textId="77777777" w:rsidR="005C2A4E" w:rsidRDefault="005C2A4E">
      <w:pPr>
        <w:rPr>
          <w:rFonts w:asciiTheme="minorHAnsi" w:hAnsiTheme="minorHAnsi" w:cstheme="minorHAnsi"/>
          <w:b/>
          <w:sz w:val="22"/>
          <w:szCs w:val="22"/>
        </w:rPr>
      </w:pPr>
      <w:r>
        <w:rPr>
          <w:rFonts w:asciiTheme="minorHAnsi" w:hAnsiTheme="minorHAnsi" w:cstheme="minorHAnsi"/>
          <w:b/>
          <w:sz w:val="22"/>
          <w:szCs w:val="22"/>
        </w:rPr>
        <w:br w:type="page"/>
      </w:r>
    </w:p>
    <w:p w14:paraId="1FA13AEE" w14:textId="1E1EB063" w:rsidR="00E1172F" w:rsidRPr="001F5CEC" w:rsidRDefault="00E1172F" w:rsidP="00295F5C">
      <w:pPr>
        <w:spacing w:line="480" w:lineRule="auto"/>
        <w:rPr>
          <w:rFonts w:asciiTheme="minorHAnsi" w:hAnsiTheme="minorHAnsi" w:cstheme="minorHAnsi"/>
          <w:sz w:val="22"/>
          <w:szCs w:val="22"/>
        </w:rPr>
      </w:pPr>
      <w:r w:rsidRPr="00F52A0A">
        <w:rPr>
          <w:rFonts w:asciiTheme="minorHAnsi" w:hAnsiTheme="minorHAnsi" w:cstheme="minorHAnsi"/>
          <w:b/>
          <w:sz w:val="22"/>
          <w:szCs w:val="22"/>
        </w:rPr>
        <w:lastRenderedPageBreak/>
        <w:t xml:space="preserve">Table </w:t>
      </w:r>
      <w:r w:rsidR="00F52A0A" w:rsidRPr="00F52A0A">
        <w:rPr>
          <w:rFonts w:asciiTheme="minorHAnsi" w:hAnsiTheme="minorHAnsi" w:cstheme="minorHAnsi"/>
          <w:b/>
          <w:sz w:val="22"/>
          <w:szCs w:val="22"/>
        </w:rPr>
        <w:t>6</w:t>
      </w:r>
      <w:r>
        <w:rPr>
          <w:rFonts w:asciiTheme="minorHAnsi" w:hAnsiTheme="minorHAnsi" w:cstheme="minorHAnsi"/>
          <w:sz w:val="22"/>
          <w:szCs w:val="22"/>
        </w:rPr>
        <w:t xml:space="preserve">. </w:t>
      </w:r>
      <w:r w:rsidR="000D0375">
        <w:rPr>
          <w:rFonts w:asciiTheme="minorHAnsi" w:hAnsiTheme="minorHAnsi" w:cstheme="minorHAnsi"/>
          <w:sz w:val="22"/>
          <w:szCs w:val="22"/>
        </w:rPr>
        <w:t>Interrater</w:t>
      </w:r>
      <w:r w:rsidR="009E54FE">
        <w:rPr>
          <w:rFonts w:asciiTheme="minorHAnsi" w:hAnsiTheme="minorHAnsi" w:cstheme="minorHAnsi"/>
          <w:sz w:val="22"/>
          <w:szCs w:val="22"/>
        </w:rPr>
        <w:t xml:space="preserve"> agreement for MRI anatomic measures of continence predication. Data are i</w:t>
      </w:r>
      <w:r w:rsidR="00F52A0A">
        <w:rPr>
          <w:rFonts w:asciiTheme="minorHAnsi" w:hAnsiTheme="minorHAnsi" w:cstheme="minorHAnsi"/>
          <w:sz w:val="22"/>
          <w:szCs w:val="22"/>
        </w:rPr>
        <w:t>ntra</w:t>
      </w:r>
      <w:r w:rsidR="009E54FE">
        <w:rPr>
          <w:rFonts w:asciiTheme="minorHAnsi" w:hAnsiTheme="minorHAnsi" w:cstheme="minorHAnsi"/>
          <w:sz w:val="22"/>
          <w:szCs w:val="22"/>
        </w:rPr>
        <w:t>-</w:t>
      </w:r>
      <w:r w:rsidR="00F52A0A">
        <w:rPr>
          <w:rFonts w:asciiTheme="minorHAnsi" w:hAnsiTheme="minorHAnsi" w:cstheme="minorHAnsi"/>
          <w:sz w:val="22"/>
          <w:szCs w:val="22"/>
        </w:rPr>
        <w:t>class correlation coefficient</w:t>
      </w:r>
      <w:r w:rsidR="009E54FE">
        <w:rPr>
          <w:rFonts w:asciiTheme="minorHAnsi" w:hAnsiTheme="minorHAnsi" w:cstheme="minorHAnsi"/>
          <w:sz w:val="22"/>
          <w:szCs w:val="22"/>
        </w:rPr>
        <w:t>s</w:t>
      </w:r>
      <w:r w:rsidR="007D70B7">
        <w:rPr>
          <w:rFonts w:asciiTheme="minorHAnsi" w:hAnsiTheme="minorHAnsi" w:cstheme="minorHAnsi"/>
          <w:sz w:val="22"/>
          <w:szCs w:val="22"/>
        </w:rPr>
        <w:t xml:space="preserve"> (ICC)</w:t>
      </w:r>
      <w:r w:rsidR="009E54FE">
        <w:rPr>
          <w:rFonts w:asciiTheme="minorHAnsi" w:hAnsiTheme="minorHAnsi" w:cstheme="minorHAnsi"/>
          <w:sz w:val="22"/>
          <w:szCs w:val="22"/>
        </w:rPr>
        <w:t>.</w:t>
      </w:r>
    </w:p>
    <w:tbl>
      <w:tblPr>
        <w:tblStyle w:val="TableGrid"/>
        <w:tblW w:w="0" w:type="auto"/>
        <w:tblLook w:val="04A0" w:firstRow="1" w:lastRow="0" w:firstColumn="1" w:lastColumn="0" w:noHBand="0" w:noVBand="1"/>
      </w:tblPr>
      <w:tblGrid>
        <w:gridCol w:w="1975"/>
        <w:gridCol w:w="1260"/>
        <w:gridCol w:w="1440"/>
      </w:tblGrid>
      <w:tr w:rsidR="007D70B7" w14:paraId="7EFF11F7" w14:textId="77777777" w:rsidTr="007D70B7">
        <w:trPr>
          <w:trHeight w:val="288"/>
        </w:trPr>
        <w:tc>
          <w:tcPr>
            <w:tcW w:w="4675" w:type="dxa"/>
            <w:gridSpan w:val="3"/>
            <w:vAlign w:val="center"/>
          </w:tcPr>
          <w:p w14:paraId="4F0E9F38" w14:textId="2CEC22A4" w:rsidR="007D70B7" w:rsidRPr="007D70B7" w:rsidRDefault="007D70B7" w:rsidP="009E54FE">
            <w:pPr>
              <w:pStyle w:val="NoSpacing"/>
              <w:rPr>
                <w:rFonts w:asciiTheme="minorHAnsi" w:hAnsiTheme="minorHAnsi" w:cstheme="minorHAnsi"/>
                <w:b/>
                <w:sz w:val="18"/>
                <w:szCs w:val="18"/>
              </w:rPr>
            </w:pPr>
            <w:r w:rsidRPr="007D70B7">
              <w:rPr>
                <w:rFonts w:asciiTheme="minorHAnsi" w:hAnsiTheme="minorHAnsi" w:cstheme="minorHAnsi"/>
                <w:b/>
                <w:sz w:val="18"/>
                <w:szCs w:val="18"/>
              </w:rPr>
              <w:t xml:space="preserve">Among </w:t>
            </w:r>
            <w:r>
              <w:rPr>
                <w:rFonts w:asciiTheme="minorHAnsi" w:hAnsiTheme="minorHAnsi" w:cstheme="minorHAnsi"/>
                <w:b/>
                <w:sz w:val="18"/>
                <w:szCs w:val="18"/>
              </w:rPr>
              <w:t xml:space="preserve">4 </w:t>
            </w:r>
            <w:r w:rsidR="009E54FE">
              <w:rPr>
                <w:rFonts w:asciiTheme="minorHAnsi" w:hAnsiTheme="minorHAnsi" w:cstheme="minorHAnsi"/>
                <w:b/>
                <w:sz w:val="18"/>
                <w:szCs w:val="18"/>
              </w:rPr>
              <w:t>t</w:t>
            </w:r>
            <w:r w:rsidR="009E54FE" w:rsidRPr="007D70B7">
              <w:rPr>
                <w:rFonts w:asciiTheme="minorHAnsi" w:hAnsiTheme="minorHAnsi" w:cstheme="minorHAnsi"/>
                <w:b/>
                <w:sz w:val="18"/>
                <w:szCs w:val="18"/>
              </w:rPr>
              <w:t xml:space="preserve">rained </w:t>
            </w:r>
            <w:r w:rsidR="009E54FE">
              <w:rPr>
                <w:rFonts w:asciiTheme="minorHAnsi" w:hAnsiTheme="minorHAnsi" w:cstheme="minorHAnsi"/>
                <w:b/>
                <w:sz w:val="18"/>
                <w:szCs w:val="18"/>
              </w:rPr>
              <w:t>e</w:t>
            </w:r>
            <w:r w:rsidR="009E54FE" w:rsidRPr="007D70B7">
              <w:rPr>
                <w:rFonts w:asciiTheme="minorHAnsi" w:hAnsiTheme="minorHAnsi" w:cstheme="minorHAnsi"/>
                <w:b/>
                <w:sz w:val="18"/>
                <w:szCs w:val="18"/>
              </w:rPr>
              <w:t xml:space="preserve">xperts </w:t>
            </w:r>
          </w:p>
        </w:tc>
      </w:tr>
      <w:tr w:rsidR="007D70B7" w14:paraId="04417B2C" w14:textId="77777777" w:rsidTr="00260272">
        <w:trPr>
          <w:trHeight w:val="288"/>
        </w:trPr>
        <w:tc>
          <w:tcPr>
            <w:tcW w:w="1975" w:type="dxa"/>
            <w:vAlign w:val="center"/>
          </w:tcPr>
          <w:p w14:paraId="136A00BD" w14:textId="57321559" w:rsidR="007D70B7" w:rsidRPr="007D70B7" w:rsidRDefault="007D70B7" w:rsidP="00260272">
            <w:pPr>
              <w:pStyle w:val="NoSpacing"/>
              <w:jc w:val="center"/>
              <w:rPr>
                <w:rFonts w:asciiTheme="minorHAnsi" w:hAnsiTheme="minorHAnsi" w:cstheme="minorHAnsi"/>
                <w:i/>
                <w:sz w:val="18"/>
                <w:szCs w:val="18"/>
              </w:rPr>
            </w:pPr>
            <w:r w:rsidRPr="007D70B7">
              <w:rPr>
                <w:rFonts w:asciiTheme="minorHAnsi" w:hAnsiTheme="minorHAnsi" w:cstheme="minorHAnsi"/>
                <w:i/>
                <w:sz w:val="18"/>
                <w:szCs w:val="18"/>
              </w:rPr>
              <w:t>Measure</w:t>
            </w:r>
          </w:p>
        </w:tc>
        <w:tc>
          <w:tcPr>
            <w:tcW w:w="1260" w:type="dxa"/>
            <w:vAlign w:val="center"/>
          </w:tcPr>
          <w:p w14:paraId="64AB07A2" w14:textId="3769DC30" w:rsidR="007D70B7" w:rsidRPr="007D70B7" w:rsidRDefault="007D70B7" w:rsidP="00260272">
            <w:pPr>
              <w:pStyle w:val="NoSpacing"/>
              <w:jc w:val="center"/>
              <w:rPr>
                <w:rFonts w:asciiTheme="minorHAnsi" w:hAnsiTheme="minorHAnsi" w:cstheme="minorHAnsi"/>
                <w:i/>
                <w:sz w:val="18"/>
                <w:szCs w:val="18"/>
              </w:rPr>
            </w:pPr>
            <w:r w:rsidRPr="007D70B7">
              <w:rPr>
                <w:rFonts w:asciiTheme="minorHAnsi" w:hAnsiTheme="minorHAnsi" w:cstheme="minorHAnsi"/>
                <w:i/>
                <w:sz w:val="18"/>
                <w:szCs w:val="18"/>
              </w:rPr>
              <w:t>N</w:t>
            </w:r>
          </w:p>
        </w:tc>
        <w:tc>
          <w:tcPr>
            <w:tcW w:w="1440" w:type="dxa"/>
            <w:vAlign w:val="center"/>
          </w:tcPr>
          <w:p w14:paraId="1050BBCE" w14:textId="72BEBF43" w:rsidR="007D70B7" w:rsidRPr="007D70B7" w:rsidRDefault="007D70B7" w:rsidP="00260272">
            <w:pPr>
              <w:pStyle w:val="NoSpacing"/>
              <w:jc w:val="center"/>
              <w:rPr>
                <w:rFonts w:asciiTheme="minorHAnsi" w:hAnsiTheme="minorHAnsi" w:cstheme="minorHAnsi"/>
                <w:i/>
                <w:sz w:val="18"/>
                <w:szCs w:val="18"/>
              </w:rPr>
            </w:pPr>
            <w:r w:rsidRPr="007D70B7">
              <w:rPr>
                <w:rFonts w:asciiTheme="minorHAnsi" w:hAnsiTheme="minorHAnsi" w:cstheme="minorHAnsi"/>
                <w:i/>
                <w:sz w:val="18"/>
                <w:szCs w:val="18"/>
              </w:rPr>
              <w:t>ICC</w:t>
            </w:r>
          </w:p>
        </w:tc>
      </w:tr>
      <w:tr w:rsidR="007D70B7" w14:paraId="127F84FD" w14:textId="77777777" w:rsidTr="00260272">
        <w:trPr>
          <w:trHeight w:val="288"/>
        </w:trPr>
        <w:tc>
          <w:tcPr>
            <w:tcW w:w="1975" w:type="dxa"/>
            <w:vAlign w:val="center"/>
          </w:tcPr>
          <w:p w14:paraId="33D29BF0" w14:textId="0810A1E7" w:rsidR="007D70B7" w:rsidRDefault="007D70B7" w:rsidP="00260272">
            <w:pPr>
              <w:pStyle w:val="NoSpacing"/>
              <w:jc w:val="center"/>
              <w:rPr>
                <w:rFonts w:asciiTheme="minorHAnsi" w:hAnsiTheme="minorHAnsi" w:cstheme="minorHAnsi"/>
                <w:sz w:val="18"/>
                <w:szCs w:val="18"/>
              </w:rPr>
            </w:pPr>
            <w:r>
              <w:rPr>
                <w:rFonts w:asciiTheme="minorHAnsi" w:hAnsiTheme="minorHAnsi" w:cstheme="minorHAnsi"/>
                <w:sz w:val="18"/>
                <w:szCs w:val="18"/>
              </w:rPr>
              <w:t>Sagittal MUL</w:t>
            </w:r>
          </w:p>
        </w:tc>
        <w:tc>
          <w:tcPr>
            <w:tcW w:w="1260" w:type="dxa"/>
            <w:vAlign w:val="center"/>
          </w:tcPr>
          <w:p w14:paraId="31B50FD8" w14:textId="3BA29159" w:rsidR="007D70B7"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20</w:t>
            </w:r>
          </w:p>
        </w:tc>
        <w:tc>
          <w:tcPr>
            <w:tcW w:w="1440" w:type="dxa"/>
            <w:vAlign w:val="center"/>
          </w:tcPr>
          <w:p w14:paraId="0A2D9A27" w14:textId="4635984E"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0.69</w:t>
            </w:r>
          </w:p>
        </w:tc>
      </w:tr>
      <w:tr w:rsidR="007D70B7" w14:paraId="144ADBD6" w14:textId="77777777" w:rsidTr="00260272">
        <w:trPr>
          <w:trHeight w:val="288"/>
        </w:trPr>
        <w:tc>
          <w:tcPr>
            <w:tcW w:w="1975" w:type="dxa"/>
            <w:vAlign w:val="center"/>
          </w:tcPr>
          <w:p w14:paraId="0A32FC1B" w14:textId="298E0643" w:rsidR="007D70B7" w:rsidRPr="00F52A0A" w:rsidRDefault="007D70B7" w:rsidP="00260272">
            <w:pPr>
              <w:pStyle w:val="NoSpacing"/>
              <w:jc w:val="center"/>
              <w:rPr>
                <w:rFonts w:asciiTheme="minorHAnsi" w:hAnsiTheme="minorHAnsi" w:cstheme="minorHAnsi"/>
                <w:sz w:val="18"/>
                <w:szCs w:val="18"/>
              </w:rPr>
            </w:pPr>
            <w:r>
              <w:rPr>
                <w:rFonts w:asciiTheme="minorHAnsi" w:hAnsiTheme="minorHAnsi" w:cstheme="minorHAnsi"/>
                <w:sz w:val="18"/>
                <w:szCs w:val="18"/>
              </w:rPr>
              <w:t>Coronal MUL</w:t>
            </w:r>
          </w:p>
        </w:tc>
        <w:tc>
          <w:tcPr>
            <w:tcW w:w="1260" w:type="dxa"/>
            <w:vAlign w:val="center"/>
          </w:tcPr>
          <w:p w14:paraId="22CAAED2" w14:textId="538960D5"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19</w:t>
            </w:r>
          </w:p>
        </w:tc>
        <w:tc>
          <w:tcPr>
            <w:tcW w:w="1440" w:type="dxa"/>
            <w:vAlign w:val="center"/>
          </w:tcPr>
          <w:p w14:paraId="60FE3BD9" w14:textId="1120B8D0"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0.62</w:t>
            </w:r>
          </w:p>
        </w:tc>
      </w:tr>
      <w:tr w:rsidR="007D70B7" w14:paraId="306CD649" w14:textId="77777777" w:rsidTr="00260272">
        <w:trPr>
          <w:trHeight w:val="288"/>
        </w:trPr>
        <w:tc>
          <w:tcPr>
            <w:tcW w:w="1975" w:type="dxa"/>
            <w:vAlign w:val="center"/>
          </w:tcPr>
          <w:p w14:paraId="16E058B7" w14:textId="11E4F986" w:rsidR="007D70B7" w:rsidRPr="00F52A0A" w:rsidRDefault="007D70B7" w:rsidP="00260272">
            <w:pPr>
              <w:pStyle w:val="NoSpacing"/>
              <w:jc w:val="center"/>
              <w:rPr>
                <w:rFonts w:asciiTheme="minorHAnsi" w:hAnsiTheme="minorHAnsi" w:cstheme="minorHAnsi"/>
                <w:sz w:val="18"/>
                <w:szCs w:val="18"/>
              </w:rPr>
            </w:pPr>
            <w:r>
              <w:rPr>
                <w:rFonts w:asciiTheme="minorHAnsi" w:hAnsiTheme="minorHAnsi" w:cstheme="minorHAnsi"/>
                <w:sz w:val="18"/>
                <w:szCs w:val="18"/>
              </w:rPr>
              <w:t>Inner LD</w:t>
            </w:r>
          </w:p>
        </w:tc>
        <w:tc>
          <w:tcPr>
            <w:tcW w:w="1260" w:type="dxa"/>
            <w:vAlign w:val="center"/>
          </w:tcPr>
          <w:p w14:paraId="52C2593D" w14:textId="32C46243"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20</w:t>
            </w:r>
          </w:p>
        </w:tc>
        <w:tc>
          <w:tcPr>
            <w:tcW w:w="1440" w:type="dxa"/>
            <w:vAlign w:val="center"/>
          </w:tcPr>
          <w:p w14:paraId="37B83242" w14:textId="2F5EBA30"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0.77</w:t>
            </w:r>
          </w:p>
        </w:tc>
      </w:tr>
      <w:tr w:rsidR="007D70B7" w14:paraId="36EABB3C" w14:textId="77777777" w:rsidTr="00260272">
        <w:trPr>
          <w:trHeight w:val="288"/>
        </w:trPr>
        <w:tc>
          <w:tcPr>
            <w:tcW w:w="1975" w:type="dxa"/>
            <w:vAlign w:val="center"/>
          </w:tcPr>
          <w:p w14:paraId="5A656CDC" w14:textId="489311CE" w:rsidR="007D70B7" w:rsidRPr="00F52A0A" w:rsidRDefault="007D70B7" w:rsidP="00260272">
            <w:pPr>
              <w:pStyle w:val="NoSpacing"/>
              <w:jc w:val="center"/>
              <w:rPr>
                <w:rFonts w:asciiTheme="minorHAnsi" w:hAnsiTheme="minorHAnsi" w:cstheme="minorHAnsi"/>
                <w:sz w:val="18"/>
                <w:szCs w:val="18"/>
              </w:rPr>
            </w:pPr>
            <w:r>
              <w:rPr>
                <w:rFonts w:asciiTheme="minorHAnsi" w:hAnsiTheme="minorHAnsi" w:cstheme="minorHAnsi"/>
                <w:sz w:val="18"/>
                <w:szCs w:val="18"/>
              </w:rPr>
              <w:t>Outer LD</w:t>
            </w:r>
          </w:p>
        </w:tc>
        <w:tc>
          <w:tcPr>
            <w:tcW w:w="1260" w:type="dxa"/>
            <w:vAlign w:val="center"/>
          </w:tcPr>
          <w:p w14:paraId="1494C6F5" w14:textId="6D67040F"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20</w:t>
            </w:r>
          </w:p>
        </w:tc>
        <w:tc>
          <w:tcPr>
            <w:tcW w:w="1440" w:type="dxa"/>
            <w:vAlign w:val="center"/>
          </w:tcPr>
          <w:p w14:paraId="000E128F" w14:textId="601986DF"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0.50</w:t>
            </w:r>
          </w:p>
        </w:tc>
      </w:tr>
      <w:tr w:rsidR="007D70B7" w14:paraId="5F77FFF9" w14:textId="77777777" w:rsidTr="00260272">
        <w:trPr>
          <w:trHeight w:val="288"/>
        </w:trPr>
        <w:tc>
          <w:tcPr>
            <w:tcW w:w="1975" w:type="dxa"/>
            <w:vAlign w:val="center"/>
          </w:tcPr>
          <w:p w14:paraId="661DCAFB" w14:textId="13E0AFDC" w:rsidR="007D70B7" w:rsidRPr="00F52A0A" w:rsidRDefault="007D70B7" w:rsidP="00260272">
            <w:pPr>
              <w:pStyle w:val="NoSpacing"/>
              <w:jc w:val="center"/>
              <w:rPr>
                <w:rFonts w:asciiTheme="minorHAnsi" w:hAnsiTheme="minorHAnsi" w:cstheme="minorHAnsi"/>
                <w:sz w:val="18"/>
                <w:szCs w:val="18"/>
              </w:rPr>
            </w:pPr>
            <w:proofErr w:type="spellStart"/>
            <w:r>
              <w:rPr>
                <w:rFonts w:asciiTheme="minorHAnsi" w:hAnsiTheme="minorHAnsi" w:cstheme="minorHAnsi"/>
                <w:sz w:val="18"/>
                <w:szCs w:val="18"/>
              </w:rPr>
              <w:t>aMUP</w:t>
            </w:r>
            <w:proofErr w:type="spellEnd"/>
          </w:p>
        </w:tc>
        <w:tc>
          <w:tcPr>
            <w:tcW w:w="1260" w:type="dxa"/>
            <w:vAlign w:val="center"/>
          </w:tcPr>
          <w:p w14:paraId="0C5BC662" w14:textId="1F0E8B63"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20</w:t>
            </w:r>
          </w:p>
        </w:tc>
        <w:tc>
          <w:tcPr>
            <w:tcW w:w="1440" w:type="dxa"/>
            <w:vAlign w:val="center"/>
          </w:tcPr>
          <w:p w14:paraId="2000F306" w14:textId="02648EB7"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w:t>
            </w:r>
            <w:r w:rsidR="00BF4935">
              <w:rPr>
                <w:rFonts w:asciiTheme="minorHAnsi" w:hAnsiTheme="minorHAnsi" w:cstheme="minorHAnsi"/>
                <w:sz w:val="18"/>
                <w:szCs w:val="18"/>
              </w:rPr>
              <w:t>50</w:t>
            </w:r>
          </w:p>
        </w:tc>
      </w:tr>
      <w:tr w:rsidR="007D70B7" w14:paraId="481AD3A3" w14:textId="77777777" w:rsidTr="00260272">
        <w:trPr>
          <w:trHeight w:val="288"/>
        </w:trPr>
        <w:tc>
          <w:tcPr>
            <w:tcW w:w="1975" w:type="dxa"/>
            <w:vAlign w:val="center"/>
          </w:tcPr>
          <w:p w14:paraId="19A3E8A6" w14:textId="4D1EE107" w:rsidR="007D70B7" w:rsidRPr="00F52A0A" w:rsidRDefault="007D70B7" w:rsidP="00260272">
            <w:pPr>
              <w:pStyle w:val="NoSpacing"/>
              <w:jc w:val="center"/>
              <w:rPr>
                <w:rFonts w:asciiTheme="minorHAnsi" w:hAnsiTheme="minorHAnsi" w:cstheme="minorHAnsi"/>
                <w:sz w:val="18"/>
                <w:szCs w:val="18"/>
              </w:rPr>
            </w:pPr>
            <w:proofErr w:type="spellStart"/>
            <w:r>
              <w:rPr>
                <w:rFonts w:asciiTheme="minorHAnsi" w:hAnsiTheme="minorHAnsi" w:cstheme="minorHAnsi"/>
                <w:sz w:val="18"/>
                <w:szCs w:val="18"/>
              </w:rPr>
              <w:t>Pubourethral</w:t>
            </w:r>
            <w:proofErr w:type="spellEnd"/>
            <w:r>
              <w:rPr>
                <w:rFonts w:asciiTheme="minorHAnsi" w:hAnsiTheme="minorHAnsi" w:cstheme="minorHAnsi"/>
                <w:sz w:val="18"/>
                <w:szCs w:val="18"/>
              </w:rPr>
              <w:t xml:space="preserve"> angle</w:t>
            </w:r>
          </w:p>
        </w:tc>
        <w:tc>
          <w:tcPr>
            <w:tcW w:w="1260" w:type="dxa"/>
            <w:vAlign w:val="center"/>
          </w:tcPr>
          <w:p w14:paraId="34449A30" w14:textId="627B1ACF"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20</w:t>
            </w:r>
          </w:p>
        </w:tc>
        <w:tc>
          <w:tcPr>
            <w:tcW w:w="1440" w:type="dxa"/>
            <w:vAlign w:val="center"/>
          </w:tcPr>
          <w:p w14:paraId="4020DF14" w14:textId="66C3A5FF"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0.82</w:t>
            </w:r>
          </w:p>
        </w:tc>
      </w:tr>
      <w:tr w:rsidR="007D70B7" w14:paraId="5C272617" w14:textId="77777777" w:rsidTr="007D70B7">
        <w:trPr>
          <w:trHeight w:val="288"/>
        </w:trPr>
        <w:tc>
          <w:tcPr>
            <w:tcW w:w="4675" w:type="dxa"/>
            <w:gridSpan w:val="3"/>
            <w:vAlign w:val="center"/>
          </w:tcPr>
          <w:p w14:paraId="5DD554E8" w14:textId="79F9B668" w:rsidR="007D70B7" w:rsidRPr="007D70B7" w:rsidRDefault="007D70B7">
            <w:pPr>
              <w:pStyle w:val="NoSpacing"/>
              <w:rPr>
                <w:rFonts w:asciiTheme="minorHAnsi" w:hAnsiTheme="minorHAnsi" w:cstheme="minorHAnsi"/>
                <w:b/>
                <w:sz w:val="18"/>
                <w:szCs w:val="18"/>
              </w:rPr>
            </w:pPr>
            <w:r w:rsidRPr="007D70B7">
              <w:rPr>
                <w:rFonts w:asciiTheme="minorHAnsi" w:hAnsiTheme="minorHAnsi" w:cstheme="minorHAnsi"/>
                <w:b/>
                <w:sz w:val="18"/>
                <w:szCs w:val="18"/>
              </w:rPr>
              <w:t xml:space="preserve">Between clinical </w:t>
            </w:r>
            <w:r w:rsidR="009E54FE">
              <w:rPr>
                <w:rFonts w:asciiTheme="minorHAnsi" w:hAnsiTheme="minorHAnsi" w:cstheme="minorHAnsi"/>
                <w:b/>
                <w:sz w:val="18"/>
                <w:szCs w:val="18"/>
              </w:rPr>
              <w:t>interpretation</w:t>
            </w:r>
            <w:r w:rsidR="009E54FE" w:rsidRPr="007D70B7">
              <w:rPr>
                <w:rFonts w:asciiTheme="minorHAnsi" w:hAnsiTheme="minorHAnsi" w:cstheme="minorHAnsi"/>
                <w:b/>
                <w:sz w:val="18"/>
                <w:szCs w:val="18"/>
              </w:rPr>
              <w:t xml:space="preserve"> </w:t>
            </w:r>
            <w:r w:rsidRPr="007D70B7">
              <w:rPr>
                <w:rFonts w:asciiTheme="minorHAnsi" w:hAnsiTheme="minorHAnsi" w:cstheme="minorHAnsi"/>
                <w:b/>
                <w:sz w:val="18"/>
                <w:szCs w:val="18"/>
              </w:rPr>
              <w:t>&amp; 1 trained expert</w:t>
            </w:r>
          </w:p>
        </w:tc>
      </w:tr>
      <w:tr w:rsidR="007D70B7" w14:paraId="743A3936" w14:textId="77777777" w:rsidTr="00260272">
        <w:trPr>
          <w:trHeight w:val="288"/>
        </w:trPr>
        <w:tc>
          <w:tcPr>
            <w:tcW w:w="1975" w:type="dxa"/>
            <w:vAlign w:val="center"/>
          </w:tcPr>
          <w:p w14:paraId="4835F818" w14:textId="774DE5A0" w:rsidR="007D70B7" w:rsidRPr="00F52A0A" w:rsidRDefault="007D70B7" w:rsidP="00260272">
            <w:pPr>
              <w:pStyle w:val="NoSpacing"/>
              <w:jc w:val="center"/>
              <w:rPr>
                <w:rFonts w:asciiTheme="minorHAnsi" w:hAnsiTheme="minorHAnsi" w:cstheme="minorHAnsi"/>
                <w:sz w:val="18"/>
                <w:szCs w:val="18"/>
              </w:rPr>
            </w:pPr>
            <w:r>
              <w:rPr>
                <w:rFonts w:asciiTheme="minorHAnsi" w:hAnsiTheme="minorHAnsi" w:cstheme="minorHAnsi"/>
                <w:sz w:val="18"/>
                <w:szCs w:val="18"/>
              </w:rPr>
              <w:t>Coronal MUL</w:t>
            </w:r>
          </w:p>
        </w:tc>
        <w:tc>
          <w:tcPr>
            <w:tcW w:w="1260" w:type="dxa"/>
            <w:vAlign w:val="center"/>
          </w:tcPr>
          <w:p w14:paraId="7FD586DE" w14:textId="28B9A1F9"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564</w:t>
            </w:r>
          </w:p>
        </w:tc>
        <w:tc>
          <w:tcPr>
            <w:tcW w:w="1440" w:type="dxa"/>
            <w:vAlign w:val="center"/>
          </w:tcPr>
          <w:p w14:paraId="597B8F6D" w14:textId="09725C47" w:rsidR="007D70B7" w:rsidRPr="00F52A0A" w:rsidRDefault="007D70B7">
            <w:pPr>
              <w:pStyle w:val="NoSpacing"/>
              <w:jc w:val="center"/>
              <w:rPr>
                <w:rFonts w:asciiTheme="minorHAnsi" w:hAnsiTheme="minorHAnsi" w:cstheme="minorHAnsi"/>
                <w:sz w:val="18"/>
                <w:szCs w:val="18"/>
              </w:rPr>
            </w:pPr>
            <w:r>
              <w:rPr>
                <w:rFonts w:asciiTheme="minorHAnsi" w:hAnsiTheme="minorHAnsi" w:cstheme="minorHAnsi"/>
                <w:sz w:val="18"/>
                <w:szCs w:val="18"/>
              </w:rPr>
              <w:t>0.382</w:t>
            </w:r>
          </w:p>
        </w:tc>
      </w:tr>
    </w:tbl>
    <w:p w14:paraId="5F7C6D8F" w14:textId="77777777" w:rsidR="009E54FE" w:rsidRPr="00260272" w:rsidRDefault="00336092" w:rsidP="00260272">
      <w:pPr>
        <w:pStyle w:val="NoSpacing"/>
        <w:rPr>
          <w:rFonts w:asciiTheme="minorHAnsi" w:hAnsiTheme="minorHAnsi" w:cstheme="minorHAnsi"/>
          <w:sz w:val="20"/>
          <w:szCs w:val="20"/>
        </w:rPr>
      </w:pPr>
      <w:r w:rsidRPr="00260272">
        <w:rPr>
          <w:rFonts w:asciiTheme="minorHAnsi" w:hAnsiTheme="minorHAnsi" w:cstheme="minorHAnsi"/>
          <w:sz w:val="20"/>
          <w:szCs w:val="20"/>
        </w:rPr>
        <w:t>MUL: membranous urethra length</w:t>
      </w:r>
    </w:p>
    <w:p w14:paraId="25991817" w14:textId="4905A6F0" w:rsidR="00336092" w:rsidRPr="00260272" w:rsidRDefault="009E54FE" w:rsidP="00260272">
      <w:pPr>
        <w:pStyle w:val="NoSpacing"/>
        <w:rPr>
          <w:rFonts w:asciiTheme="minorHAnsi" w:hAnsiTheme="minorHAnsi" w:cstheme="minorHAnsi"/>
          <w:sz w:val="20"/>
          <w:szCs w:val="20"/>
        </w:rPr>
      </w:pPr>
      <w:r w:rsidRPr="00260272">
        <w:rPr>
          <w:rFonts w:asciiTheme="minorHAnsi" w:hAnsiTheme="minorHAnsi" w:cstheme="minorHAnsi"/>
          <w:sz w:val="20"/>
          <w:szCs w:val="20"/>
        </w:rPr>
        <w:t>LD: levator diameter</w:t>
      </w:r>
      <w:r w:rsidR="00336092" w:rsidRPr="00260272">
        <w:rPr>
          <w:rFonts w:asciiTheme="minorHAnsi" w:hAnsiTheme="minorHAnsi" w:cstheme="minorHAnsi"/>
          <w:sz w:val="20"/>
          <w:szCs w:val="20"/>
        </w:rPr>
        <w:br/>
      </w:r>
      <w:proofErr w:type="spellStart"/>
      <w:r w:rsidR="00336092" w:rsidRPr="00260272">
        <w:rPr>
          <w:rFonts w:asciiTheme="minorHAnsi" w:hAnsiTheme="minorHAnsi" w:cstheme="minorHAnsi"/>
          <w:sz w:val="20"/>
          <w:szCs w:val="20"/>
        </w:rPr>
        <w:t>aMUP</w:t>
      </w:r>
      <w:proofErr w:type="spellEnd"/>
      <w:r w:rsidR="00336092" w:rsidRPr="00260272">
        <w:rPr>
          <w:rFonts w:asciiTheme="minorHAnsi" w:hAnsiTheme="minorHAnsi" w:cstheme="minorHAnsi"/>
          <w:sz w:val="20"/>
          <w:szCs w:val="20"/>
        </w:rPr>
        <w:t>: angle between membranous urethra and prostatic axis</w:t>
      </w:r>
    </w:p>
    <w:p w14:paraId="7AEFDE46" w14:textId="77777777" w:rsidR="00336092" w:rsidRDefault="00336092" w:rsidP="00295F5C">
      <w:pPr>
        <w:spacing w:line="480" w:lineRule="auto"/>
        <w:rPr>
          <w:rFonts w:asciiTheme="minorHAnsi" w:hAnsiTheme="minorHAnsi" w:cstheme="minorHAnsi"/>
          <w:b/>
          <w:sz w:val="22"/>
          <w:szCs w:val="22"/>
          <w:u w:val="single"/>
        </w:rPr>
      </w:pPr>
    </w:p>
    <w:p w14:paraId="17115F28" w14:textId="77777777" w:rsidR="00C738B9" w:rsidRDefault="00C738B9" w:rsidP="00295F5C">
      <w:pPr>
        <w:spacing w:line="480" w:lineRule="auto"/>
        <w:rPr>
          <w:rFonts w:asciiTheme="minorHAnsi" w:hAnsiTheme="minorHAnsi" w:cstheme="minorHAnsi"/>
          <w:b/>
          <w:sz w:val="22"/>
          <w:szCs w:val="22"/>
          <w:u w:val="single"/>
        </w:rPr>
      </w:pPr>
    </w:p>
    <w:p w14:paraId="06CE2DA1" w14:textId="77777777" w:rsidR="00C738B9" w:rsidRDefault="00C738B9" w:rsidP="00295F5C">
      <w:pPr>
        <w:spacing w:line="480" w:lineRule="auto"/>
        <w:rPr>
          <w:rFonts w:asciiTheme="minorHAnsi" w:hAnsiTheme="minorHAnsi" w:cstheme="minorHAnsi"/>
          <w:b/>
          <w:sz w:val="22"/>
          <w:szCs w:val="22"/>
          <w:u w:val="single"/>
        </w:rPr>
      </w:pPr>
    </w:p>
    <w:p w14:paraId="0FDF5E57" w14:textId="77777777" w:rsidR="00C738B9" w:rsidRDefault="00C738B9" w:rsidP="00295F5C">
      <w:pPr>
        <w:spacing w:line="480" w:lineRule="auto"/>
        <w:rPr>
          <w:rFonts w:asciiTheme="minorHAnsi" w:hAnsiTheme="minorHAnsi" w:cstheme="minorHAnsi"/>
          <w:b/>
          <w:sz w:val="22"/>
          <w:szCs w:val="22"/>
          <w:u w:val="single"/>
        </w:rPr>
      </w:pPr>
    </w:p>
    <w:p w14:paraId="44B1C026" w14:textId="77777777" w:rsidR="00C738B9" w:rsidRDefault="00C738B9" w:rsidP="00295F5C">
      <w:pPr>
        <w:spacing w:line="480" w:lineRule="auto"/>
        <w:rPr>
          <w:rFonts w:asciiTheme="minorHAnsi" w:hAnsiTheme="minorHAnsi" w:cstheme="minorHAnsi"/>
          <w:b/>
          <w:sz w:val="22"/>
          <w:szCs w:val="22"/>
          <w:u w:val="single"/>
        </w:rPr>
      </w:pPr>
    </w:p>
    <w:p w14:paraId="1ABFD708" w14:textId="77777777" w:rsidR="00C738B9" w:rsidRDefault="00C738B9" w:rsidP="00295F5C">
      <w:pPr>
        <w:spacing w:line="480" w:lineRule="auto"/>
        <w:rPr>
          <w:rFonts w:asciiTheme="minorHAnsi" w:hAnsiTheme="minorHAnsi" w:cstheme="minorHAnsi"/>
          <w:b/>
          <w:sz w:val="22"/>
          <w:szCs w:val="22"/>
          <w:u w:val="single"/>
        </w:rPr>
      </w:pPr>
    </w:p>
    <w:p w14:paraId="0C674A1A" w14:textId="77777777" w:rsidR="00C738B9" w:rsidRDefault="00C738B9" w:rsidP="00295F5C">
      <w:pPr>
        <w:spacing w:line="480" w:lineRule="auto"/>
        <w:rPr>
          <w:rFonts w:asciiTheme="minorHAnsi" w:hAnsiTheme="minorHAnsi" w:cstheme="minorHAnsi"/>
          <w:b/>
          <w:sz w:val="22"/>
          <w:szCs w:val="22"/>
          <w:u w:val="single"/>
        </w:rPr>
      </w:pPr>
    </w:p>
    <w:p w14:paraId="1CD5B226" w14:textId="77777777" w:rsidR="00C738B9" w:rsidRDefault="00C738B9" w:rsidP="00295F5C">
      <w:pPr>
        <w:spacing w:line="480" w:lineRule="auto"/>
        <w:rPr>
          <w:rFonts w:asciiTheme="minorHAnsi" w:hAnsiTheme="minorHAnsi" w:cstheme="minorHAnsi"/>
          <w:b/>
          <w:sz w:val="22"/>
          <w:szCs w:val="22"/>
          <w:u w:val="single"/>
        </w:rPr>
      </w:pPr>
    </w:p>
    <w:p w14:paraId="63C2FA22" w14:textId="77777777" w:rsidR="00C738B9" w:rsidRDefault="00C738B9" w:rsidP="00295F5C">
      <w:pPr>
        <w:spacing w:line="480" w:lineRule="auto"/>
        <w:rPr>
          <w:rFonts w:asciiTheme="minorHAnsi" w:hAnsiTheme="minorHAnsi" w:cstheme="minorHAnsi"/>
          <w:b/>
          <w:sz w:val="22"/>
          <w:szCs w:val="22"/>
          <w:u w:val="single"/>
        </w:rPr>
      </w:pPr>
    </w:p>
    <w:p w14:paraId="6BC7E872" w14:textId="77777777" w:rsidR="00C738B9" w:rsidRDefault="00C738B9" w:rsidP="00295F5C">
      <w:pPr>
        <w:spacing w:line="480" w:lineRule="auto"/>
        <w:rPr>
          <w:rFonts w:asciiTheme="minorHAnsi" w:hAnsiTheme="minorHAnsi" w:cstheme="minorHAnsi"/>
          <w:b/>
          <w:sz w:val="22"/>
          <w:szCs w:val="22"/>
          <w:u w:val="single"/>
        </w:rPr>
      </w:pPr>
    </w:p>
    <w:p w14:paraId="3A1CCBC4" w14:textId="77777777" w:rsidR="00C738B9" w:rsidRDefault="00C738B9" w:rsidP="00295F5C">
      <w:pPr>
        <w:spacing w:line="480" w:lineRule="auto"/>
        <w:rPr>
          <w:rFonts w:asciiTheme="minorHAnsi" w:hAnsiTheme="minorHAnsi" w:cstheme="minorHAnsi"/>
          <w:b/>
          <w:sz w:val="22"/>
          <w:szCs w:val="22"/>
          <w:u w:val="single"/>
        </w:rPr>
      </w:pPr>
    </w:p>
    <w:p w14:paraId="165E03C6" w14:textId="77777777" w:rsidR="00C738B9" w:rsidRDefault="00C738B9" w:rsidP="00295F5C">
      <w:pPr>
        <w:spacing w:line="480" w:lineRule="auto"/>
        <w:rPr>
          <w:rFonts w:asciiTheme="minorHAnsi" w:hAnsiTheme="minorHAnsi" w:cstheme="minorHAnsi"/>
          <w:b/>
          <w:sz w:val="22"/>
          <w:szCs w:val="22"/>
          <w:u w:val="single"/>
        </w:rPr>
      </w:pPr>
    </w:p>
    <w:p w14:paraId="79433E35" w14:textId="77777777" w:rsidR="00C738B9" w:rsidRDefault="00C738B9" w:rsidP="00295F5C">
      <w:pPr>
        <w:spacing w:line="480" w:lineRule="auto"/>
        <w:rPr>
          <w:rFonts w:asciiTheme="minorHAnsi" w:hAnsiTheme="minorHAnsi" w:cstheme="minorHAnsi"/>
          <w:b/>
          <w:sz w:val="22"/>
          <w:szCs w:val="22"/>
          <w:u w:val="single"/>
        </w:rPr>
      </w:pPr>
    </w:p>
    <w:p w14:paraId="1A786C63" w14:textId="18E2DC26" w:rsidR="007E597A" w:rsidRDefault="007E597A" w:rsidP="007E597A">
      <w:pPr>
        <w:spacing w:line="480" w:lineRule="auto"/>
        <w:rPr>
          <w:rFonts w:cstheme="minorHAnsi"/>
          <w:sz w:val="22"/>
          <w:szCs w:val="22"/>
        </w:rPr>
      </w:pPr>
    </w:p>
    <w:p w14:paraId="5EACBA3D" w14:textId="18CEF806" w:rsidR="007E597A" w:rsidRPr="007E597A" w:rsidRDefault="007E597A" w:rsidP="007247CC">
      <w:pPr>
        <w:widowControl w:val="0"/>
        <w:autoSpaceDE w:val="0"/>
        <w:autoSpaceDN w:val="0"/>
        <w:adjustRightInd w:val="0"/>
        <w:rPr>
          <w:rFonts w:cstheme="minorHAnsi"/>
          <w:sz w:val="22"/>
          <w:szCs w:val="22"/>
        </w:rPr>
      </w:pPr>
    </w:p>
    <w:sectPr w:rsidR="007E597A" w:rsidRPr="007E597A" w:rsidSect="001A0AAD">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D3C0A" w14:textId="77777777" w:rsidR="009E4CD6" w:rsidRDefault="009E4CD6" w:rsidP="00CC1ECE">
      <w:r>
        <w:separator/>
      </w:r>
    </w:p>
  </w:endnote>
  <w:endnote w:type="continuationSeparator" w:id="0">
    <w:p w14:paraId="79766DE1" w14:textId="77777777" w:rsidR="009E4CD6" w:rsidRDefault="009E4CD6" w:rsidP="00CC1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52577" w14:textId="77777777" w:rsidR="009E4CD6" w:rsidRDefault="009E4CD6" w:rsidP="00CC1ECE">
      <w:r>
        <w:separator/>
      </w:r>
    </w:p>
  </w:footnote>
  <w:footnote w:type="continuationSeparator" w:id="0">
    <w:p w14:paraId="5692E31B" w14:textId="77777777" w:rsidR="009E4CD6" w:rsidRDefault="009E4CD6" w:rsidP="00CC1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0725052"/>
      <w:docPartObj>
        <w:docPartGallery w:val="Page Numbers (Top of Page)"/>
        <w:docPartUnique/>
      </w:docPartObj>
    </w:sdtPr>
    <w:sdtEndPr>
      <w:rPr>
        <w:rStyle w:val="PageNumber"/>
      </w:rPr>
    </w:sdtEndPr>
    <w:sdtContent>
      <w:p w14:paraId="1826767D" w14:textId="07F4A2E9" w:rsidR="00B62992" w:rsidRDefault="00B62992" w:rsidP="009E54F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08C2D1" w14:textId="77777777" w:rsidR="00B62992" w:rsidRDefault="00B62992" w:rsidP="00CC1EC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68521" w14:textId="77777777" w:rsidR="00B62992" w:rsidRDefault="00B62992" w:rsidP="00CC1EC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7E52"/>
    <w:multiLevelType w:val="hybridMultilevel"/>
    <w:tmpl w:val="DC6CD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31601"/>
    <w:multiLevelType w:val="hybridMultilevel"/>
    <w:tmpl w:val="6DD4EA38"/>
    <w:lvl w:ilvl="0" w:tplc="B09CFAB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F442DF"/>
    <w:multiLevelType w:val="hybridMultilevel"/>
    <w:tmpl w:val="1C4E34D4"/>
    <w:lvl w:ilvl="0" w:tplc="1EBC6DC8">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21D02"/>
    <w:multiLevelType w:val="hybridMultilevel"/>
    <w:tmpl w:val="745C71BE"/>
    <w:lvl w:ilvl="0" w:tplc="92AEC68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7C2D59"/>
    <w:multiLevelType w:val="hybridMultilevel"/>
    <w:tmpl w:val="DC6CD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D76FA"/>
    <w:multiLevelType w:val="hybridMultilevel"/>
    <w:tmpl w:val="B0A89DB0"/>
    <w:lvl w:ilvl="0" w:tplc="5436F0C0">
      <w:start w:val="1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56EE2"/>
    <w:multiLevelType w:val="hybridMultilevel"/>
    <w:tmpl w:val="2C10A8F8"/>
    <w:lvl w:ilvl="0" w:tplc="A4969AA4">
      <w:start w:val="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D8677E"/>
    <w:multiLevelType w:val="hybridMultilevel"/>
    <w:tmpl w:val="2902A0DA"/>
    <w:lvl w:ilvl="0" w:tplc="C4FCB444">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AFA3635"/>
    <w:multiLevelType w:val="hybridMultilevel"/>
    <w:tmpl w:val="D2BC26A6"/>
    <w:lvl w:ilvl="0" w:tplc="DA20961A">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1832FB"/>
    <w:multiLevelType w:val="hybridMultilevel"/>
    <w:tmpl w:val="A044B7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E405BC"/>
    <w:multiLevelType w:val="hybridMultilevel"/>
    <w:tmpl w:val="A950E244"/>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9"/>
  </w:num>
  <w:num w:numId="3">
    <w:abstractNumId w:val="3"/>
  </w:num>
  <w:num w:numId="4">
    <w:abstractNumId w:val="6"/>
  </w:num>
  <w:num w:numId="5">
    <w:abstractNumId w:val="5"/>
  </w:num>
  <w:num w:numId="6">
    <w:abstractNumId w:val="7"/>
  </w:num>
  <w:num w:numId="7">
    <w:abstractNumId w:val="1"/>
  </w:num>
  <w:num w:numId="8">
    <w:abstractNumId w:val="2"/>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173"/>
    <w:rsid w:val="00004328"/>
    <w:rsid w:val="00020E0E"/>
    <w:rsid w:val="000224C7"/>
    <w:rsid w:val="00033BDE"/>
    <w:rsid w:val="00042695"/>
    <w:rsid w:val="00042DA6"/>
    <w:rsid w:val="0004473E"/>
    <w:rsid w:val="00050E73"/>
    <w:rsid w:val="00052155"/>
    <w:rsid w:val="00061DFC"/>
    <w:rsid w:val="00090403"/>
    <w:rsid w:val="00093FC8"/>
    <w:rsid w:val="000966FB"/>
    <w:rsid w:val="000A358D"/>
    <w:rsid w:val="000A4AC8"/>
    <w:rsid w:val="000B4F6B"/>
    <w:rsid w:val="000C0C39"/>
    <w:rsid w:val="000C321B"/>
    <w:rsid w:val="000C56A4"/>
    <w:rsid w:val="000D0375"/>
    <w:rsid w:val="000D17B1"/>
    <w:rsid w:val="000E041E"/>
    <w:rsid w:val="000E2B86"/>
    <w:rsid w:val="000E5942"/>
    <w:rsid w:val="000E6976"/>
    <w:rsid w:val="000F3131"/>
    <w:rsid w:val="000F521D"/>
    <w:rsid w:val="00111EFE"/>
    <w:rsid w:val="00120CF9"/>
    <w:rsid w:val="00124FC8"/>
    <w:rsid w:val="001374E2"/>
    <w:rsid w:val="00143FAD"/>
    <w:rsid w:val="00145493"/>
    <w:rsid w:val="00146863"/>
    <w:rsid w:val="00156FA5"/>
    <w:rsid w:val="0016259B"/>
    <w:rsid w:val="00162A94"/>
    <w:rsid w:val="00166375"/>
    <w:rsid w:val="00170AF4"/>
    <w:rsid w:val="00174E94"/>
    <w:rsid w:val="00183059"/>
    <w:rsid w:val="001956AE"/>
    <w:rsid w:val="00196CBA"/>
    <w:rsid w:val="001A0AAD"/>
    <w:rsid w:val="001B293C"/>
    <w:rsid w:val="001B56AD"/>
    <w:rsid w:val="001C7509"/>
    <w:rsid w:val="001D6A83"/>
    <w:rsid w:val="001E6143"/>
    <w:rsid w:val="001F5CEC"/>
    <w:rsid w:val="001F5F4F"/>
    <w:rsid w:val="00200070"/>
    <w:rsid w:val="00202DDE"/>
    <w:rsid w:val="00212C8A"/>
    <w:rsid w:val="00214D1A"/>
    <w:rsid w:val="00220465"/>
    <w:rsid w:val="00260272"/>
    <w:rsid w:val="00262EDC"/>
    <w:rsid w:val="002722B1"/>
    <w:rsid w:val="00280128"/>
    <w:rsid w:val="0028663A"/>
    <w:rsid w:val="00295F5C"/>
    <w:rsid w:val="002A0CA2"/>
    <w:rsid w:val="002A1C3D"/>
    <w:rsid w:val="002C3A49"/>
    <w:rsid w:val="002C6521"/>
    <w:rsid w:val="002D6B91"/>
    <w:rsid w:val="002E2731"/>
    <w:rsid w:val="002E4B37"/>
    <w:rsid w:val="002F2388"/>
    <w:rsid w:val="002F4136"/>
    <w:rsid w:val="002F41E9"/>
    <w:rsid w:val="002F4A23"/>
    <w:rsid w:val="003004F9"/>
    <w:rsid w:val="00304532"/>
    <w:rsid w:val="00305A8B"/>
    <w:rsid w:val="00317522"/>
    <w:rsid w:val="003349D8"/>
    <w:rsid w:val="00336092"/>
    <w:rsid w:val="003516BB"/>
    <w:rsid w:val="00353BEE"/>
    <w:rsid w:val="0036376D"/>
    <w:rsid w:val="00383ACF"/>
    <w:rsid w:val="003A0645"/>
    <w:rsid w:val="003A4BB6"/>
    <w:rsid w:val="003B534B"/>
    <w:rsid w:val="003B5B2D"/>
    <w:rsid w:val="003C3787"/>
    <w:rsid w:val="003C6E9E"/>
    <w:rsid w:val="003C7B4F"/>
    <w:rsid w:val="003D5150"/>
    <w:rsid w:val="00400098"/>
    <w:rsid w:val="0041054D"/>
    <w:rsid w:val="00415E79"/>
    <w:rsid w:val="00423871"/>
    <w:rsid w:val="00425AB9"/>
    <w:rsid w:val="00426EE1"/>
    <w:rsid w:val="00426F1A"/>
    <w:rsid w:val="004300B4"/>
    <w:rsid w:val="004311BD"/>
    <w:rsid w:val="004443C7"/>
    <w:rsid w:val="004450B8"/>
    <w:rsid w:val="00446F75"/>
    <w:rsid w:val="0046542F"/>
    <w:rsid w:val="00471009"/>
    <w:rsid w:val="004760F1"/>
    <w:rsid w:val="0048715A"/>
    <w:rsid w:val="004918ED"/>
    <w:rsid w:val="00492872"/>
    <w:rsid w:val="00496332"/>
    <w:rsid w:val="004A008C"/>
    <w:rsid w:val="004A61AE"/>
    <w:rsid w:val="004B742C"/>
    <w:rsid w:val="004C660F"/>
    <w:rsid w:val="004D0832"/>
    <w:rsid w:val="004D24A4"/>
    <w:rsid w:val="004E6745"/>
    <w:rsid w:val="004E7301"/>
    <w:rsid w:val="005103A0"/>
    <w:rsid w:val="00514FD4"/>
    <w:rsid w:val="0052191A"/>
    <w:rsid w:val="0053079C"/>
    <w:rsid w:val="00532653"/>
    <w:rsid w:val="00533DBA"/>
    <w:rsid w:val="005358A5"/>
    <w:rsid w:val="00541FD5"/>
    <w:rsid w:val="0057077F"/>
    <w:rsid w:val="0057118F"/>
    <w:rsid w:val="0058030F"/>
    <w:rsid w:val="00582C23"/>
    <w:rsid w:val="0058575F"/>
    <w:rsid w:val="005960FA"/>
    <w:rsid w:val="005B17C2"/>
    <w:rsid w:val="005C2A4E"/>
    <w:rsid w:val="005C7828"/>
    <w:rsid w:val="005D5E7C"/>
    <w:rsid w:val="005D69AE"/>
    <w:rsid w:val="005E2F6A"/>
    <w:rsid w:val="005E757E"/>
    <w:rsid w:val="005F3DC5"/>
    <w:rsid w:val="005F74E4"/>
    <w:rsid w:val="00604E22"/>
    <w:rsid w:val="00616BC7"/>
    <w:rsid w:val="00623E08"/>
    <w:rsid w:val="006265A2"/>
    <w:rsid w:val="0063217E"/>
    <w:rsid w:val="0064098D"/>
    <w:rsid w:val="0064104B"/>
    <w:rsid w:val="006440AF"/>
    <w:rsid w:val="00647648"/>
    <w:rsid w:val="0065665F"/>
    <w:rsid w:val="00657717"/>
    <w:rsid w:val="00667CEF"/>
    <w:rsid w:val="00675148"/>
    <w:rsid w:val="0068158B"/>
    <w:rsid w:val="006913CA"/>
    <w:rsid w:val="006A2875"/>
    <w:rsid w:val="006B6773"/>
    <w:rsid w:val="006E30E1"/>
    <w:rsid w:val="006F739D"/>
    <w:rsid w:val="00700360"/>
    <w:rsid w:val="007004DA"/>
    <w:rsid w:val="00707A24"/>
    <w:rsid w:val="00712277"/>
    <w:rsid w:val="00721713"/>
    <w:rsid w:val="00723EFF"/>
    <w:rsid w:val="007247CC"/>
    <w:rsid w:val="00727D31"/>
    <w:rsid w:val="0075098A"/>
    <w:rsid w:val="00753100"/>
    <w:rsid w:val="007569CD"/>
    <w:rsid w:val="00770100"/>
    <w:rsid w:val="0077748A"/>
    <w:rsid w:val="0078034C"/>
    <w:rsid w:val="00785E6F"/>
    <w:rsid w:val="00792F7B"/>
    <w:rsid w:val="007959CE"/>
    <w:rsid w:val="007A1A47"/>
    <w:rsid w:val="007A55A6"/>
    <w:rsid w:val="007A5A30"/>
    <w:rsid w:val="007C1B35"/>
    <w:rsid w:val="007C2A5A"/>
    <w:rsid w:val="007D38A9"/>
    <w:rsid w:val="007D70B7"/>
    <w:rsid w:val="007E597A"/>
    <w:rsid w:val="00813F8E"/>
    <w:rsid w:val="008273F9"/>
    <w:rsid w:val="0083152E"/>
    <w:rsid w:val="00832E6E"/>
    <w:rsid w:val="00836DF5"/>
    <w:rsid w:val="00851BB1"/>
    <w:rsid w:val="008552FE"/>
    <w:rsid w:val="008565B6"/>
    <w:rsid w:val="00864949"/>
    <w:rsid w:val="00867A89"/>
    <w:rsid w:val="008741A0"/>
    <w:rsid w:val="00890D36"/>
    <w:rsid w:val="00892997"/>
    <w:rsid w:val="00893BDC"/>
    <w:rsid w:val="008A1C09"/>
    <w:rsid w:val="008B2B61"/>
    <w:rsid w:val="008B48D5"/>
    <w:rsid w:val="008C4330"/>
    <w:rsid w:val="008D1BA5"/>
    <w:rsid w:val="008D3031"/>
    <w:rsid w:val="008E7C15"/>
    <w:rsid w:val="009119A5"/>
    <w:rsid w:val="00912B54"/>
    <w:rsid w:val="00915B44"/>
    <w:rsid w:val="00923D86"/>
    <w:rsid w:val="00930D3D"/>
    <w:rsid w:val="00931F2D"/>
    <w:rsid w:val="00950794"/>
    <w:rsid w:val="00951AFB"/>
    <w:rsid w:val="00957AA4"/>
    <w:rsid w:val="00961361"/>
    <w:rsid w:val="00966C83"/>
    <w:rsid w:val="00967F87"/>
    <w:rsid w:val="00975885"/>
    <w:rsid w:val="009808D2"/>
    <w:rsid w:val="009811E3"/>
    <w:rsid w:val="009827F3"/>
    <w:rsid w:val="009951C2"/>
    <w:rsid w:val="00996722"/>
    <w:rsid w:val="009C3E95"/>
    <w:rsid w:val="009C634B"/>
    <w:rsid w:val="009E17B8"/>
    <w:rsid w:val="009E4CD6"/>
    <w:rsid w:val="009E54FE"/>
    <w:rsid w:val="009E72D0"/>
    <w:rsid w:val="00A01BDF"/>
    <w:rsid w:val="00A10DAF"/>
    <w:rsid w:val="00A11428"/>
    <w:rsid w:val="00A17204"/>
    <w:rsid w:val="00A25FCD"/>
    <w:rsid w:val="00A362CB"/>
    <w:rsid w:val="00A41721"/>
    <w:rsid w:val="00A501D7"/>
    <w:rsid w:val="00A575CD"/>
    <w:rsid w:val="00A67008"/>
    <w:rsid w:val="00A7636D"/>
    <w:rsid w:val="00A8467D"/>
    <w:rsid w:val="00A9502A"/>
    <w:rsid w:val="00A960E2"/>
    <w:rsid w:val="00A97ADE"/>
    <w:rsid w:val="00AB08C9"/>
    <w:rsid w:val="00AB565F"/>
    <w:rsid w:val="00AC065B"/>
    <w:rsid w:val="00AC29D8"/>
    <w:rsid w:val="00AC3391"/>
    <w:rsid w:val="00AC3D1C"/>
    <w:rsid w:val="00AC47A7"/>
    <w:rsid w:val="00AD3323"/>
    <w:rsid w:val="00AE0895"/>
    <w:rsid w:val="00AE1FE9"/>
    <w:rsid w:val="00AF3283"/>
    <w:rsid w:val="00AF7C19"/>
    <w:rsid w:val="00B0108A"/>
    <w:rsid w:val="00B011AF"/>
    <w:rsid w:val="00B1018F"/>
    <w:rsid w:val="00B113A7"/>
    <w:rsid w:val="00B279AB"/>
    <w:rsid w:val="00B27D38"/>
    <w:rsid w:val="00B516A1"/>
    <w:rsid w:val="00B536F4"/>
    <w:rsid w:val="00B56E4E"/>
    <w:rsid w:val="00B62992"/>
    <w:rsid w:val="00B6333D"/>
    <w:rsid w:val="00B72546"/>
    <w:rsid w:val="00B974A5"/>
    <w:rsid w:val="00B97F85"/>
    <w:rsid w:val="00BA18CB"/>
    <w:rsid w:val="00BB12B4"/>
    <w:rsid w:val="00BB2CB2"/>
    <w:rsid w:val="00BB348B"/>
    <w:rsid w:val="00BB6395"/>
    <w:rsid w:val="00BC0CB0"/>
    <w:rsid w:val="00BC1AE4"/>
    <w:rsid w:val="00BD5981"/>
    <w:rsid w:val="00BE4717"/>
    <w:rsid w:val="00BE492E"/>
    <w:rsid w:val="00BF4935"/>
    <w:rsid w:val="00C01FE0"/>
    <w:rsid w:val="00C121A5"/>
    <w:rsid w:val="00C13A60"/>
    <w:rsid w:val="00C30A08"/>
    <w:rsid w:val="00C421E7"/>
    <w:rsid w:val="00C524B3"/>
    <w:rsid w:val="00C52E01"/>
    <w:rsid w:val="00C648FF"/>
    <w:rsid w:val="00C71255"/>
    <w:rsid w:val="00C738B9"/>
    <w:rsid w:val="00C7706B"/>
    <w:rsid w:val="00C96867"/>
    <w:rsid w:val="00CA259C"/>
    <w:rsid w:val="00CB4DD6"/>
    <w:rsid w:val="00CB601A"/>
    <w:rsid w:val="00CC1ECE"/>
    <w:rsid w:val="00CC2043"/>
    <w:rsid w:val="00CD56AC"/>
    <w:rsid w:val="00CE3610"/>
    <w:rsid w:val="00CF25CC"/>
    <w:rsid w:val="00D02066"/>
    <w:rsid w:val="00D024C4"/>
    <w:rsid w:val="00D312C0"/>
    <w:rsid w:val="00D3516A"/>
    <w:rsid w:val="00D35374"/>
    <w:rsid w:val="00D40DAC"/>
    <w:rsid w:val="00D55F4A"/>
    <w:rsid w:val="00D64043"/>
    <w:rsid w:val="00D66AF6"/>
    <w:rsid w:val="00D7702A"/>
    <w:rsid w:val="00D77FD9"/>
    <w:rsid w:val="00DA388E"/>
    <w:rsid w:val="00DC0C26"/>
    <w:rsid w:val="00DC1717"/>
    <w:rsid w:val="00DC3BE9"/>
    <w:rsid w:val="00DC3CB6"/>
    <w:rsid w:val="00DC48C6"/>
    <w:rsid w:val="00DC5472"/>
    <w:rsid w:val="00DC79E2"/>
    <w:rsid w:val="00DD6D9B"/>
    <w:rsid w:val="00DD7773"/>
    <w:rsid w:val="00DE02DD"/>
    <w:rsid w:val="00DE7D52"/>
    <w:rsid w:val="00DF3469"/>
    <w:rsid w:val="00E022E3"/>
    <w:rsid w:val="00E02FE5"/>
    <w:rsid w:val="00E1172F"/>
    <w:rsid w:val="00E204BF"/>
    <w:rsid w:val="00E22C0A"/>
    <w:rsid w:val="00E25449"/>
    <w:rsid w:val="00E311CB"/>
    <w:rsid w:val="00E3399A"/>
    <w:rsid w:val="00E33B7B"/>
    <w:rsid w:val="00E40EE0"/>
    <w:rsid w:val="00E523A9"/>
    <w:rsid w:val="00E52B52"/>
    <w:rsid w:val="00E666F9"/>
    <w:rsid w:val="00E86BE7"/>
    <w:rsid w:val="00EA4360"/>
    <w:rsid w:val="00EB512E"/>
    <w:rsid w:val="00EC44BD"/>
    <w:rsid w:val="00EC6529"/>
    <w:rsid w:val="00EE0173"/>
    <w:rsid w:val="00EE1256"/>
    <w:rsid w:val="00EE1496"/>
    <w:rsid w:val="00EE7353"/>
    <w:rsid w:val="00EF73CE"/>
    <w:rsid w:val="00F02F4C"/>
    <w:rsid w:val="00F0353B"/>
    <w:rsid w:val="00F061B7"/>
    <w:rsid w:val="00F178CD"/>
    <w:rsid w:val="00F17B2D"/>
    <w:rsid w:val="00F237CF"/>
    <w:rsid w:val="00F24D63"/>
    <w:rsid w:val="00F2653E"/>
    <w:rsid w:val="00F314A2"/>
    <w:rsid w:val="00F472B7"/>
    <w:rsid w:val="00F52A0A"/>
    <w:rsid w:val="00F612D0"/>
    <w:rsid w:val="00F631BE"/>
    <w:rsid w:val="00F65237"/>
    <w:rsid w:val="00F66163"/>
    <w:rsid w:val="00F67B3B"/>
    <w:rsid w:val="00F67C2B"/>
    <w:rsid w:val="00F75A77"/>
    <w:rsid w:val="00F9094C"/>
    <w:rsid w:val="00F924B5"/>
    <w:rsid w:val="00F951F4"/>
    <w:rsid w:val="00FA0273"/>
    <w:rsid w:val="00FB611D"/>
    <w:rsid w:val="00FC01AE"/>
    <w:rsid w:val="00FD21AA"/>
    <w:rsid w:val="00FF2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7146B"/>
  <w14:defaultImageDpi w14:val="32767"/>
  <w15:chartTrackingRefBased/>
  <w15:docId w15:val="{A2F303C9-5CA5-A944-9103-8B82C6CF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AF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AFB"/>
    <w:pPr>
      <w:ind w:left="720"/>
      <w:contextualSpacing/>
    </w:pPr>
    <w:rPr>
      <w:rFonts w:asciiTheme="minorHAnsi" w:eastAsiaTheme="minorHAnsi" w:hAnsiTheme="minorHAnsi" w:cstheme="minorBidi"/>
    </w:rPr>
  </w:style>
  <w:style w:type="table" w:styleId="TableGrid">
    <w:name w:val="Table Grid"/>
    <w:basedOn w:val="TableNormal"/>
    <w:uiPriority w:val="39"/>
    <w:rsid w:val="005F7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F74E4"/>
    <w:rPr>
      <w:sz w:val="16"/>
      <w:szCs w:val="16"/>
    </w:rPr>
  </w:style>
  <w:style w:type="paragraph" w:styleId="CommentText">
    <w:name w:val="annotation text"/>
    <w:basedOn w:val="Normal"/>
    <w:link w:val="CommentTextChar"/>
    <w:uiPriority w:val="99"/>
    <w:semiHidden/>
    <w:unhideWhenUsed/>
    <w:rsid w:val="005F74E4"/>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5F74E4"/>
    <w:rPr>
      <w:sz w:val="20"/>
      <w:szCs w:val="20"/>
    </w:rPr>
  </w:style>
  <w:style w:type="paragraph" w:styleId="CommentSubject">
    <w:name w:val="annotation subject"/>
    <w:basedOn w:val="CommentText"/>
    <w:next w:val="CommentText"/>
    <w:link w:val="CommentSubjectChar"/>
    <w:uiPriority w:val="99"/>
    <w:semiHidden/>
    <w:unhideWhenUsed/>
    <w:rsid w:val="005F74E4"/>
    <w:rPr>
      <w:b/>
      <w:bCs/>
    </w:rPr>
  </w:style>
  <w:style w:type="character" w:customStyle="1" w:styleId="CommentSubjectChar">
    <w:name w:val="Comment Subject Char"/>
    <w:basedOn w:val="CommentTextChar"/>
    <w:link w:val="CommentSubject"/>
    <w:uiPriority w:val="99"/>
    <w:semiHidden/>
    <w:rsid w:val="005F74E4"/>
    <w:rPr>
      <w:b/>
      <w:bCs/>
      <w:sz w:val="20"/>
      <w:szCs w:val="20"/>
    </w:rPr>
  </w:style>
  <w:style w:type="paragraph" w:styleId="BalloonText">
    <w:name w:val="Balloon Text"/>
    <w:basedOn w:val="Normal"/>
    <w:link w:val="BalloonTextChar"/>
    <w:uiPriority w:val="99"/>
    <w:semiHidden/>
    <w:unhideWhenUsed/>
    <w:rsid w:val="005F74E4"/>
    <w:rPr>
      <w:rFonts w:eastAsiaTheme="minorHAnsi"/>
      <w:sz w:val="18"/>
      <w:szCs w:val="18"/>
    </w:rPr>
  </w:style>
  <w:style w:type="character" w:customStyle="1" w:styleId="BalloonTextChar">
    <w:name w:val="Balloon Text Char"/>
    <w:basedOn w:val="DefaultParagraphFont"/>
    <w:link w:val="BalloonText"/>
    <w:uiPriority w:val="99"/>
    <w:semiHidden/>
    <w:rsid w:val="005F74E4"/>
    <w:rPr>
      <w:rFonts w:ascii="Times New Roman" w:hAnsi="Times New Roman" w:cs="Times New Roman"/>
      <w:sz w:val="18"/>
      <w:szCs w:val="18"/>
    </w:rPr>
  </w:style>
  <w:style w:type="table" w:styleId="GridTable1Light-Accent1">
    <w:name w:val="Grid Table 1 Light Accent 1"/>
    <w:basedOn w:val="TableNormal"/>
    <w:uiPriority w:val="46"/>
    <w:rsid w:val="008D1BA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8D1BA5"/>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8D1BA5"/>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3">
    <w:name w:val="Grid Table 3 Accent 3"/>
    <w:basedOn w:val="TableNormal"/>
    <w:uiPriority w:val="48"/>
    <w:rsid w:val="008D1BA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3">
    <w:name w:val="Grid Table 7 Colorful Accent 3"/>
    <w:basedOn w:val="TableNormal"/>
    <w:uiPriority w:val="52"/>
    <w:rsid w:val="008D1BA5"/>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NoSpacing">
    <w:name w:val="No Spacing"/>
    <w:uiPriority w:val="1"/>
    <w:qFormat/>
    <w:rsid w:val="008D1BA5"/>
    <w:rPr>
      <w:rFonts w:ascii="Times New Roman" w:eastAsia="Times New Roman" w:hAnsi="Times New Roman" w:cs="Times New Roman"/>
    </w:rPr>
  </w:style>
  <w:style w:type="paragraph" w:styleId="Header">
    <w:name w:val="header"/>
    <w:basedOn w:val="Normal"/>
    <w:link w:val="HeaderChar"/>
    <w:uiPriority w:val="99"/>
    <w:unhideWhenUsed/>
    <w:rsid w:val="00CC1ECE"/>
    <w:pPr>
      <w:tabs>
        <w:tab w:val="center" w:pos="4680"/>
        <w:tab w:val="right" w:pos="9360"/>
      </w:tabs>
    </w:pPr>
  </w:style>
  <w:style w:type="character" w:customStyle="1" w:styleId="HeaderChar">
    <w:name w:val="Header Char"/>
    <w:basedOn w:val="DefaultParagraphFont"/>
    <w:link w:val="Header"/>
    <w:uiPriority w:val="99"/>
    <w:rsid w:val="00CC1ECE"/>
    <w:rPr>
      <w:rFonts w:ascii="Times New Roman" w:eastAsia="Times New Roman" w:hAnsi="Times New Roman" w:cs="Times New Roman"/>
    </w:rPr>
  </w:style>
  <w:style w:type="character" w:styleId="PageNumber">
    <w:name w:val="page number"/>
    <w:basedOn w:val="DefaultParagraphFont"/>
    <w:uiPriority w:val="99"/>
    <w:semiHidden/>
    <w:unhideWhenUsed/>
    <w:rsid w:val="00CC1ECE"/>
  </w:style>
  <w:style w:type="character" w:styleId="Hyperlink">
    <w:name w:val="Hyperlink"/>
    <w:basedOn w:val="DefaultParagraphFont"/>
    <w:uiPriority w:val="99"/>
    <w:unhideWhenUsed/>
    <w:rsid w:val="006B6773"/>
    <w:rPr>
      <w:color w:val="0563C1" w:themeColor="hyperlink"/>
      <w:u w:val="single"/>
    </w:rPr>
  </w:style>
  <w:style w:type="character" w:styleId="FollowedHyperlink">
    <w:name w:val="FollowedHyperlink"/>
    <w:basedOn w:val="DefaultParagraphFont"/>
    <w:uiPriority w:val="99"/>
    <w:semiHidden/>
    <w:unhideWhenUsed/>
    <w:rsid w:val="00260272"/>
    <w:rPr>
      <w:color w:val="954F72" w:themeColor="followedHyperlink"/>
      <w:u w:val="single"/>
    </w:rPr>
  </w:style>
  <w:style w:type="character" w:customStyle="1" w:styleId="UnresolvedMention1">
    <w:name w:val="Unresolved Mention1"/>
    <w:basedOn w:val="DefaultParagraphFont"/>
    <w:uiPriority w:val="99"/>
    <w:semiHidden/>
    <w:unhideWhenUsed/>
    <w:rsid w:val="00893BDC"/>
    <w:rPr>
      <w:color w:val="605E5C"/>
      <w:shd w:val="clear" w:color="auto" w:fill="E1DFDD"/>
    </w:rPr>
  </w:style>
  <w:style w:type="character" w:styleId="Emphasis">
    <w:name w:val="Emphasis"/>
    <w:basedOn w:val="DefaultParagraphFont"/>
    <w:uiPriority w:val="20"/>
    <w:qFormat/>
    <w:rsid w:val="00DD6D9B"/>
    <w:rPr>
      <w:i/>
      <w:iCs/>
    </w:rPr>
  </w:style>
  <w:style w:type="paragraph" w:styleId="Revision">
    <w:name w:val="Revision"/>
    <w:hidden/>
    <w:uiPriority w:val="99"/>
    <w:semiHidden/>
    <w:rsid w:val="00B97F8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722744">
      <w:bodyDiv w:val="1"/>
      <w:marLeft w:val="0"/>
      <w:marRight w:val="0"/>
      <w:marTop w:val="0"/>
      <w:marBottom w:val="0"/>
      <w:divBdr>
        <w:top w:val="none" w:sz="0" w:space="0" w:color="auto"/>
        <w:left w:val="none" w:sz="0" w:space="0" w:color="auto"/>
        <w:bottom w:val="none" w:sz="0" w:space="0" w:color="auto"/>
        <w:right w:val="none" w:sz="0" w:space="0" w:color="auto"/>
      </w:divBdr>
    </w:div>
    <w:div w:id="868297714">
      <w:bodyDiv w:val="1"/>
      <w:marLeft w:val="0"/>
      <w:marRight w:val="0"/>
      <w:marTop w:val="0"/>
      <w:marBottom w:val="0"/>
      <w:divBdr>
        <w:top w:val="none" w:sz="0" w:space="0" w:color="auto"/>
        <w:left w:val="none" w:sz="0" w:space="0" w:color="auto"/>
        <w:bottom w:val="none" w:sz="0" w:space="0" w:color="auto"/>
        <w:right w:val="none" w:sz="0" w:space="0" w:color="auto"/>
      </w:divBdr>
    </w:div>
    <w:div w:id="1007252813">
      <w:bodyDiv w:val="1"/>
      <w:marLeft w:val="0"/>
      <w:marRight w:val="0"/>
      <w:marTop w:val="0"/>
      <w:marBottom w:val="0"/>
      <w:divBdr>
        <w:top w:val="none" w:sz="0" w:space="0" w:color="auto"/>
        <w:left w:val="none" w:sz="0" w:space="0" w:color="auto"/>
        <w:bottom w:val="none" w:sz="0" w:space="0" w:color="auto"/>
        <w:right w:val="none" w:sz="0" w:space="0" w:color="auto"/>
      </w:divBdr>
    </w:div>
    <w:div w:id="1640725496">
      <w:bodyDiv w:val="1"/>
      <w:marLeft w:val="0"/>
      <w:marRight w:val="0"/>
      <w:marTop w:val="0"/>
      <w:marBottom w:val="0"/>
      <w:divBdr>
        <w:top w:val="none" w:sz="0" w:space="0" w:color="auto"/>
        <w:left w:val="none" w:sz="0" w:space="0" w:color="auto"/>
        <w:bottom w:val="none" w:sz="0" w:space="0" w:color="auto"/>
        <w:right w:val="none" w:sz="0" w:space="0" w:color="auto"/>
      </w:divBdr>
    </w:div>
    <w:div w:id="1695156514">
      <w:bodyDiv w:val="1"/>
      <w:marLeft w:val="0"/>
      <w:marRight w:val="0"/>
      <w:marTop w:val="0"/>
      <w:marBottom w:val="0"/>
      <w:divBdr>
        <w:top w:val="none" w:sz="0" w:space="0" w:color="auto"/>
        <w:left w:val="none" w:sz="0" w:space="0" w:color="auto"/>
        <w:bottom w:val="none" w:sz="0" w:space="0" w:color="auto"/>
        <w:right w:val="none" w:sz="0" w:space="0" w:color="auto"/>
      </w:divBdr>
    </w:div>
    <w:div w:id="1914731983">
      <w:bodyDiv w:val="1"/>
      <w:marLeft w:val="0"/>
      <w:marRight w:val="0"/>
      <w:marTop w:val="0"/>
      <w:marBottom w:val="0"/>
      <w:divBdr>
        <w:top w:val="none" w:sz="0" w:space="0" w:color="auto"/>
        <w:left w:val="none" w:sz="0" w:space="0" w:color="auto"/>
        <w:bottom w:val="none" w:sz="0" w:space="0" w:color="auto"/>
        <w:right w:val="none" w:sz="0" w:space="0" w:color="auto"/>
      </w:divBdr>
    </w:div>
    <w:div w:id="20518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E4157-3B5B-2647-AB78-1EDA4A30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38742</Words>
  <Characters>220836</Characters>
  <Application>Microsoft Office Word</Application>
  <DocSecurity>0</DocSecurity>
  <Lines>1840</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Lamberg</dc:creator>
  <cp:keywords/>
  <dc:description/>
  <cp:lastModifiedBy>Lamberg, Hannah</cp:lastModifiedBy>
  <cp:revision>2</cp:revision>
  <cp:lastPrinted>2021-02-15T21:08:00Z</cp:lastPrinted>
  <dcterms:created xsi:type="dcterms:W3CDTF">2021-02-26T14:20:00Z</dcterms:created>
  <dcterms:modified xsi:type="dcterms:W3CDTF">2021-02-26T14:20:00Z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http://www.zotero.org/styles/american-medical-association</vt:lpwstr>
  </property>
  <property fmtid="{D5CDD505-2E9C-101B-9397-08002B2CF9AE}" pid="4" name="Mendeley Unique User Id_1">
    <vt:lpwstr>28d8d073-e129-3ed6-8104-099470fb88b4</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